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4.xml" ContentType="application/vnd.openxmlformats-officedocument.themeOverride+xml"/>
  <Override PartName="/word/theme/themeOverride5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after="0" w:afterLines="0" w:line="560" w:lineRule="exact"/>
        <w:ind w:firstLine="440" w:firstLineChars="100"/>
        <w:jc w:val="both"/>
        <w:rPr>
          <w:rFonts w:hint="eastAsia" w:ascii="方正小标宋简体" w:hAnsi="宋体" w:eastAsia="方正小标宋简体" w:cs="宋体"/>
          <w:b w:val="0"/>
          <w:lang w:val="en-US" w:eastAsia="zh-CN"/>
        </w:rPr>
      </w:pPr>
      <w:bookmarkStart w:id="0" w:name="_Toc502996375"/>
      <w:r>
        <w:rPr>
          <w:rFonts w:hint="eastAsia" w:ascii="方正小标宋简体" w:hAnsi="宋体" w:eastAsia="方正小标宋简体" w:cs="宋体"/>
          <w:b w:val="0"/>
          <w:lang w:val="en-US" w:eastAsia="zh-CN"/>
        </w:rPr>
        <w:t>2017届毕业生的规模、结构 、就业率、毕业去向</w:t>
      </w:r>
      <w:bookmarkStart w:id="158" w:name="_GoBack"/>
      <w:bookmarkEnd w:id="158"/>
    </w:p>
    <w:bookmarkEnd w:id="0"/>
    <w:p>
      <w:pPr>
        <w:adjustRightInd w:val="0"/>
        <w:snapToGrid w:val="0"/>
        <w:spacing w:line="560" w:lineRule="exact"/>
        <w:ind w:firstLine="643"/>
        <w:outlineLvl w:val="1"/>
        <w:rPr>
          <w:rFonts w:hint="eastAsia" w:ascii="仿宋_GB2312" w:hAnsi="微软雅黑" w:eastAsia="仿宋_GB2312"/>
          <w:b/>
          <w:sz w:val="32"/>
          <w:szCs w:val="32"/>
        </w:rPr>
      </w:pPr>
      <w:bookmarkStart w:id="1" w:name="_Toc398040195"/>
      <w:bookmarkStart w:id="2" w:name="_Toc407976291"/>
      <w:bookmarkStart w:id="3" w:name="_Toc502996376"/>
      <w:bookmarkStart w:id="4" w:name="_Toc397255434"/>
      <w:bookmarkStart w:id="5" w:name="_Toc408429366"/>
    </w:p>
    <w:p>
      <w:pPr>
        <w:adjustRightInd w:val="0"/>
        <w:snapToGrid w:val="0"/>
        <w:spacing w:line="560" w:lineRule="exact"/>
        <w:ind w:firstLine="643"/>
        <w:outlineLvl w:val="1"/>
        <w:rPr>
          <w:rFonts w:ascii="仿宋_GB2312" w:hAnsi="微软雅黑" w:eastAsia="仿宋_GB2312"/>
          <w:b/>
          <w:sz w:val="32"/>
          <w:szCs w:val="32"/>
        </w:rPr>
      </w:pPr>
      <w:r>
        <w:rPr>
          <w:rFonts w:hint="eastAsia" w:ascii="仿宋_GB2312" w:hAnsi="微软雅黑" w:eastAsia="仿宋_GB2312"/>
          <w:b/>
          <w:sz w:val="32"/>
          <w:szCs w:val="32"/>
        </w:rPr>
        <w:t>（一</w:t>
      </w:r>
      <w:r>
        <w:rPr>
          <w:rFonts w:ascii="仿宋_GB2312" w:hAnsi="微软雅黑" w:eastAsia="仿宋_GB2312"/>
          <w:b/>
          <w:sz w:val="32"/>
          <w:szCs w:val="32"/>
        </w:rPr>
        <w:t>）</w:t>
      </w:r>
      <w:r>
        <w:rPr>
          <w:rFonts w:hint="eastAsia" w:ascii="仿宋_GB2312" w:hAnsi="微软雅黑" w:eastAsia="仿宋_GB2312"/>
          <w:b/>
          <w:sz w:val="32"/>
          <w:szCs w:val="32"/>
        </w:rPr>
        <w:t>毕业生规模</w:t>
      </w:r>
      <w:bookmarkEnd w:id="1"/>
      <w:bookmarkEnd w:id="2"/>
      <w:bookmarkEnd w:id="3"/>
      <w:bookmarkEnd w:id="4"/>
      <w:bookmarkEnd w:id="5"/>
    </w:p>
    <w:p>
      <w:pPr>
        <w:adjustRightInd w:val="0"/>
        <w:snapToGrid w:val="0"/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bookmarkStart w:id="6" w:name="_Toc398040196"/>
      <w:bookmarkStart w:id="7" w:name="_Toc397255435"/>
      <w:r>
        <w:rPr>
          <w:rFonts w:hint="eastAsia" w:ascii="仿宋_GB2312" w:hAnsi="宋体" w:eastAsia="仿宋_GB2312"/>
          <w:sz w:val="32"/>
          <w:szCs w:val="32"/>
        </w:rPr>
        <w:t>学院自2017年开始有第一届毕业生，生源共计711人，全部为专科学历，分布于6个系，来自山东、安徽、贵州、河北、四川、浙江、辽宁和吉林8个省，分属汉族、回族、满族和蒙古族4个民族。</w:t>
      </w:r>
    </w:p>
    <w:p>
      <w:pPr>
        <w:adjustRightInd w:val="0"/>
        <w:snapToGrid w:val="0"/>
        <w:spacing w:line="560" w:lineRule="exact"/>
        <w:ind w:firstLine="643"/>
        <w:outlineLvl w:val="1"/>
        <w:rPr>
          <w:rFonts w:ascii="仿宋_GB2312" w:hAnsi="微软雅黑" w:eastAsia="仿宋_GB2312"/>
          <w:b/>
          <w:sz w:val="32"/>
          <w:szCs w:val="32"/>
        </w:rPr>
      </w:pPr>
      <w:bookmarkStart w:id="8" w:name="_Toc407976292"/>
      <w:bookmarkStart w:id="9" w:name="_Toc502996377"/>
      <w:bookmarkStart w:id="10" w:name="_Toc408429367"/>
      <w:r>
        <w:rPr>
          <w:rFonts w:hint="eastAsia" w:ascii="仿宋_GB2312" w:hAnsi="微软雅黑" w:eastAsia="仿宋_GB2312"/>
          <w:b/>
          <w:sz w:val="32"/>
          <w:szCs w:val="32"/>
        </w:rPr>
        <w:t>（二</w:t>
      </w:r>
      <w:r>
        <w:rPr>
          <w:rFonts w:ascii="仿宋_GB2312" w:hAnsi="微软雅黑" w:eastAsia="仿宋_GB2312"/>
          <w:b/>
          <w:sz w:val="32"/>
          <w:szCs w:val="32"/>
        </w:rPr>
        <w:t>）</w:t>
      </w:r>
      <w:r>
        <w:rPr>
          <w:rFonts w:hint="eastAsia" w:ascii="仿宋_GB2312" w:hAnsi="微软雅黑" w:eastAsia="仿宋_GB2312"/>
          <w:b/>
          <w:sz w:val="32"/>
          <w:szCs w:val="32"/>
        </w:rPr>
        <w:t>毕业生结构</w:t>
      </w:r>
      <w:bookmarkEnd w:id="6"/>
      <w:bookmarkEnd w:id="7"/>
      <w:bookmarkEnd w:id="8"/>
      <w:bookmarkEnd w:id="9"/>
      <w:bookmarkEnd w:id="10"/>
    </w:p>
    <w:p>
      <w:pPr>
        <w:adjustRightInd w:val="0"/>
        <w:snapToGrid w:val="0"/>
        <w:spacing w:line="560" w:lineRule="exact"/>
        <w:ind w:firstLine="640"/>
        <w:outlineLvl w:val="2"/>
        <w:rPr>
          <w:rFonts w:hint="eastAsia" w:ascii="楷体_GB2312" w:hAnsi="微软雅黑" w:eastAsia="楷体_GB2312"/>
          <w:sz w:val="32"/>
          <w:szCs w:val="32"/>
        </w:rPr>
      </w:pPr>
      <w:bookmarkStart w:id="11" w:name="_Toc398040199"/>
      <w:r>
        <w:rPr>
          <w:rFonts w:hint="eastAsia" w:ascii="楷体_GB2312" w:hAnsi="微软雅黑" w:eastAsia="楷体_GB2312"/>
          <w:sz w:val="32"/>
          <w:szCs w:val="32"/>
        </w:rPr>
        <w:t>1、专业大类分布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按专业大类统计，</w:t>
      </w:r>
      <w:r>
        <w:rPr>
          <w:rFonts w:hint="eastAsia" w:ascii="仿宋_GB2312" w:hAnsi="宋体" w:eastAsia="仿宋_GB2312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届毕业生</w:t>
      </w:r>
      <w:r>
        <w:rPr>
          <w:rFonts w:hint="eastAsia" w:ascii="仿宋_GB2312" w:hAnsi="宋体" w:eastAsia="仿宋_GB2312"/>
          <w:sz w:val="32"/>
          <w:szCs w:val="32"/>
        </w:rPr>
        <w:t>涉及4个专业大类，以财经、交通运输大类为主。毕业生专业大类分布情况如下表所示：</w:t>
      </w:r>
      <w:bookmarkEnd w:id="11"/>
      <w:bookmarkStart w:id="12" w:name="_Toc178739721"/>
    </w:p>
    <w:p>
      <w:pPr>
        <w:pStyle w:val="4"/>
        <w:spacing w:before="156" w:after="156"/>
        <w:ind w:left="0" w:leftChars="0"/>
        <w:rPr>
          <w:rFonts w:ascii="宋体" w:hAnsi="宋体"/>
          <w:sz w:val="21"/>
          <w:szCs w:val="21"/>
        </w:rPr>
      </w:pPr>
      <w:bookmarkStart w:id="13" w:name="_Toc502996528"/>
      <w:r>
        <w:rPr>
          <w:rFonts w:hint="eastAsia" w:ascii="宋体" w:hAnsi="宋体"/>
          <w:sz w:val="21"/>
          <w:szCs w:val="21"/>
        </w:rPr>
        <w:t>表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instrText xml:space="preserve">SEQ 表 \* ARABIC</w:instrText>
      </w:r>
      <w:r>
        <w:rPr>
          <w:rFonts w:ascii="宋体" w:hAnsi="宋体"/>
          <w:sz w:val="21"/>
          <w:szCs w:val="21"/>
        </w:rPr>
        <w:instrText xml:space="preserve">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1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>.</w:t>
      </w:r>
      <w:r>
        <w:rPr>
          <w:rFonts w:hint="eastAsia" w:ascii="宋体" w:hAnsi="宋体"/>
          <w:sz w:val="21"/>
          <w:szCs w:val="21"/>
        </w:rPr>
        <w:t>毕业生人数分专业大类统计表</w:t>
      </w:r>
      <w:bookmarkEnd w:id="13"/>
    </w:p>
    <w:tbl>
      <w:tblPr>
        <w:tblStyle w:val="11"/>
        <w:tblW w:w="7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3667"/>
        <w:gridCol w:w="1629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947" w:type="dxa"/>
            <w:vAlign w:val="center"/>
          </w:tcPr>
          <w:p>
            <w:pPr>
              <w:pStyle w:val="13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67" w:type="dxa"/>
            <w:vAlign w:val="center"/>
          </w:tcPr>
          <w:p>
            <w:pPr>
              <w:pStyle w:val="13"/>
              <w:rPr>
                <w:b/>
              </w:rPr>
            </w:pPr>
            <w:r>
              <w:rPr>
                <w:rFonts w:hint="eastAsia"/>
                <w:b/>
              </w:rPr>
              <w:t>专业大类</w:t>
            </w:r>
          </w:p>
        </w:tc>
        <w:tc>
          <w:tcPr>
            <w:tcW w:w="1629" w:type="dxa"/>
            <w:vAlign w:val="center"/>
          </w:tcPr>
          <w:p>
            <w:pPr>
              <w:pStyle w:val="13"/>
              <w:rPr>
                <w:b/>
              </w:rPr>
            </w:pPr>
            <w:r>
              <w:rPr>
                <w:rFonts w:hint="eastAsia"/>
                <w:b/>
              </w:rPr>
              <w:t>生源人数</w:t>
            </w:r>
          </w:p>
        </w:tc>
        <w:tc>
          <w:tcPr>
            <w:tcW w:w="1644" w:type="dxa"/>
            <w:vAlign w:val="center"/>
          </w:tcPr>
          <w:p>
            <w:pPr>
              <w:pStyle w:val="13"/>
              <w:rPr>
                <w:b/>
              </w:rPr>
            </w:pPr>
            <w:r>
              <w:rPr>
                <w:rFonts w:hint="eastAsia"/>
                <w:b/>
              </w:rPr>
              <w:t>生源比例（%）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7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3667" w:type="dxa"/>
            <w:vAlign w:val="center"/>
          </w:tcPr>
          <w:p>
            <w:pPr>
              <w:pStyle w:val="13"/>
              <w:jc w:val="left"/>
            </w:pPr>
            <w:r>
              <w:rPr>
                <w:rFonts w:hint="eastAsia"/>
              </w:rPr>
              <w:t>财经大类</w:t>
            </w:r>
          </w:p>
        </w:tc>
        <w:tc>
          <w:tcPr>
            <w:tcW w:w="1629" w:type="dxa"/>
            <w:vAlign w:val="center"/>
          </w:tcPr>
          <w:p>
            <w:pPr>
              <w:pStyle w:val="13"/>
            </w:pPr>
            <w:r>
              <w:t>365</w:t>
            </w:r>
          </w:p>
        </w:tc>
        <w:tc>
          <w:tcPr>
            <w:tcW w:w="1644" w:type="dxa"/>
            <w:vAlign w:val="center"/>
          </w:tcPr>
          <w:p>
            <w:pPr>
              <w:pStyle w:val="13"/>
            </w:pPr>
            <w:r>
              <w:t>51.34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7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3667" w:type="dxa"/>
            <w:vAlign w:val="center"/>
          </w:tcPr>
          <w:p>
            <w:pPr>
              <w:pStyle w:val="13"/>
              <w:jc w:val="left"/>
            </w:pPr>
            <w:r>
              <w:rPr>
                <w:rFonts w:hint="eastAsia"/>
              </w:rPr>
              <w:t>交通运输大类</w:t>
            </w:r>
          </w:p>
        </w:tc>
        <w:tc>
          <w:tcPr>
            <w:tcW w:w="1629" w:type="dxa"/>
            <w:vAlign w:val="center"/>
          </w:tcPr>
          <w:p>
            <w:pPr>
              <w:pStyle w:val="13"/>
            </w:pPr>
            <w:r>
              <w:t>200</w:t>
            </w:r>
          </w:p>
        </w:tc>
        <w:tc>
          <w:tcPr>
            <w:tcW w:w="1644" w:type="dxa"/>
            <w:vAlign w:val="center"/>
          </w:tcPr>
          <w:p>
            <w:pPr>
              <w:pStyle w:val="13"/>
            </w:pPr>
            <w:r>
              <w:t>28.13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7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3667" w:type="dxa"/>
            <w:vAlign w:val="center"/>
          </w:tcPr>
          <w:p>
            <w:pPr>
              <w:pStyle w:val="13"/>
              <w:jc w:val="left"/>
            </w:pPr>
            <w:r>
              <w:rPr>
                <w:rFonts w:hint="eastAsia"/>
              </w:rPr>
              <w:t>轻纺食品大类</w:t>
            </w:r>
          </w:p>
        </w:tc>
        <w:tc>
          <w:tcPr>
            <w:tcW w:w="1629" w:type="dxa"/>
            <w:vAlign w:val="center"/>
          </w:tcPr>
          <w:p>
            <w:pPr>
              <w:pStyle w:val="13"/>
            </w:pPr>
            <w:r>
              <w:t>106</w:t>
            </w:r>
          </w:p>
        </w:tc>
        <w:tc>
          <w:tcPr>
            <w:tcW w:w="1644" w:type="dxa"/>
            <w:vAlign w:val="center"/>
          </w:tcPr>
          <w:p>
            <w:pPr>
              <w:pStyle w:val="13"/>
            </w:pPr>
            <w:r>
              <w:t>14.91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7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3667" w:type="dxa"/>
            <w:vAlign w:val="center"/>
          </w:tcPr>
          <w:p>
            <w:pPr>
              <w:pStyle w:val="13"/>
              <w:jc w:val="left"/>
            </w:pPr>
            <w:r>
              <w:rPr>
                <w:rFonts w:hint="eastAsia"/>
              </w:rPr>
              <w:t>农林牧渔大类</w:t>
            </w:r>
          </w:p>
        </w:tc>
        <w:tc>
          <w:tcPr>
            <w:tcW w:w="1629" w:type="dxa"/>
            <w:vAlign w:val="center"/>
          </w:tcPr>
          <w:p>
            <w:pPr>
              <w:pStyle w:val="13"/>
            </w:pPr>
            <w:r>
              <w:t>40</w:t>
            </w:r>
          </w:p>
        </w:tc>
        <w:tc>
          <w:tcPr>
            <w:tcW w:w="1644" w:type="dxa"/>
            <w:vAlign w:val="center"/>
          </w:tcPr>
          <w:p>
            <w:pPr>
              <w:pStyle w:val="13"/>
            </w:pPr>
            <w:r>
              <w:t>5.62</w:t>
            </w:r>
          </w:p>
        </w:tc>
      </w:tr>
      <w:bookmarkEnd w:id="12"/>
    </w:tbl>
    <w:p>
      <w:pPr>
        <w:ind w:left="560" w:firstLine="0" w:firstLineChars="0"/>
        <w:rPr>
          <w:rFonts w:hint="eastAsia" w:ascii="楷体_GB2312" w:eastAsia="楷体_GB2312"/>
        </w:rPr>
      </w:pPr>
    </w:p>
    <w:p>
      <w:pPr>
        <w:adjustRightInd w:val="0"/>
        <w:snapToGrid w:val="0"/>
        <w:spacing w:line="560" w:lineRule="exact"/>
        <w:ind w:firstLine="640"/>
        <w:outlineLvl w:val="2"/>
        <w:rPr>
          <w:rFonts w:hint="eastAsia" w:ascii="楷体_GB2312" w:hAnsi="微软雅黑" w:eastAsia="楷体_GB2312"/>
          <w:sz w:val="32"/>
          <w:szCs w:val="28"/>
        </w:rPr>
      </w:pPr>
      <w:r>
        <w:rPr>
          <w:rFonts w:hint="eastAsia" w:ascii="楷体_GB2312" w:hAnsi="微软雅黑" w:eastAsia="楷体_GB2312"/>
          <w:sz w:val="32"/>
          <w:szCs w:val="28"/>
        </w:rPr>
        <w:t>2、专业结构</w:t>
      </w:r>
    </w:p>
    <w:p>
      <w:pPr>
        <w:spacing w:line="560" w:lineRule="exact"/>
        <w:ind w:firstLine="480" w:firstLineChars="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2017届毕业生按</w:t>
      </w:r>
      <w:r>
        <w:rPr>
          <w:rFonts w:hint="eastAsia" w:ascii="仿宋_GB2312" w:hAnsi="宋体" w:eastAsia="仿宋_GB2312"/>
          <w:sz w:val="32"/>
        </w:rPr>
        <w:t>专业统计，包括6个专科专业,其中船舶工程技术、船舶电子电气技术、水产养殖技术3个专业生源占全省生源比例达20%以上。毕业生专业分布与全省生源对比情况如下表所示：</w:t>
      </w:r>
    </w:p>
    <w:p>
      <w:pPr>
        <w:spacing w:before="156" w:beforeLines="50" w:after="156" w:afterLines="50"/>
        <w:ind w:firstLine="0" w:firstLineChars="0"/>
        <w:jc w:val="center"/>
        <w:rPr>
          <w:rFonts w:ascii="宋体" w:hAnsi="宋体" w:cs="Arial"/>
          <w:b/>
          <w:szCs w:val="21"/>
        </w:rPr>
      </w:pPr>
      <w:bookmarkStart w:id="14" w:name="_Toc502996529"/>
      <w:r>
        <w:rPr>
          <w:rFonts w:hint="eastAsia" w:ascii="宋体" w:hAnsi="宋体" w:cs="Arial"/>
          <w:b/>
          <w:szCs w:val="21"/>
        </w:rPr>
        <w:t>表</w:t>
      </w:r>
      <w:r>
        <w:rPr>
          <w:rFonts w:ascii="宋体" w:hAnsi="宋体" w:cs="Arial"/>
          <w:b/>
          <w:szCs w:val="21"/>
        </w:rPr>
        <w:fldChar w:fldCharType="begin"/>
      </w:r>
      <w:r>
        <w:rPr>
          <w:rFonts w:ascii="宋体" w:hAnsi="宋体" w:cs="Arial"/>
          <w:b/>
          <w:szCs w:val="21"/>
        </w:rPr>
        <w:instrText xml:space="preserve"> </w:instrText>
      </w:r>
      <w:r>
        <w:rPr>
          <w:rFonts w:hint="eastAsia" w:ascii="宋体" w:hAnsi="宋体" w:cs="Arial"/>
          <w:b/>
          <w:szCs w:val="21"/>
        </w:rPr>
        <w:instrText xml:space="preserve">SEQ 表 \* ARABIC</w:instrText>
      </w:r>
      <w:r>
        <w:rPr>
          <w:rFonts w:ascii="宋体" w:hAnsi="宋体" w:cs="Arial"/>
          <w:b/>
          <w:szCs w:val="21"/>
        </w:rPr>
        <w:instrText xml:space="preserve"> </w:instrText>
      </w:r>
      <w:r>
        <w:rPr>
          <w:rFonts w:ascii="宋体" w:hAnsi="宋体" w:cs="Arial"/>
          <w:b/>
          <w:szCs w:val="21"/>
        </w:rPr>
        <w:fldChar w:fldCharType="separate"/>
      </w:r>
      <w:r>
        <w:rPr>
          <w:rFonts w:ascii="宋体" w:hAnsi="宋体" w:cs="Arial"/>
          <w:b/>
          <w:szCs w:val="21"/>
        </w:rPr>
        <w:t>2</w:t>
      </w:r>
      <w:r>
        <w:rPr>
          <w:rFonts w:ascii="宋体" w:hAnsi="宋体" w:cs="Arial"/>
          <w:b/>
          <w:szCs w:val="21"/>
        </w:rPr>
        <w:fldChar w:fldCharType="end"/>
      </w:r>
      <w:r>
        <w:rPr>
          <w:rFonts w:ascii="宋体" w:hAnsi="宋体" w:cs="Arial"/>
          <w:b/>
          <w:szCs w:val="21"/>
        </w:rPr>
        <w:t>.</w:t>
      </w:r>
      <w:r>
        <w:rPr>
          <w:rFonts w:hint="eastAsia" w:ascii="宋体" w:hAnsi="宋体" w:cs="Arial"/>
          <w:b/>
          <w:szCs w:val="21"/>
        </w:rPr>
        <w:t>专科生源专业分布情况与全省生源对比</w:t>
      </w:r>
      <w:bookmarkEnd w:id="14"/>
    </w:p>
    <w:tbl>
      <w:tblPr>
        <w:tblStyle w:val="10"/>
        <w:tblW w:w="78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277"/>
        <w:gridCol w:w="1272"/>
        <w:gridCol w:w="1145"/>
        <w:gridCol w:w="1271"/>
        <w:gridCol w:w="11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7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本校生源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占本校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全省生源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占全省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生源比%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生源比%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会计电算化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31.08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22532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20.25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6664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船舶工程技术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18.99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食品营养与检测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14.91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1654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船舶电子电气技术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9.14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水产养殖技术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5.63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29.85</w:t>
            </w:r>
          </w:p>
        </w:tc>
      </w:tr>
    </w:tbl>
    <w:p>
      <w:pPr>
        <w:ind w:left="420" w:firstLine="0" w:firstLineChars="0"/>
      </w:pPr>
    </w:p>
    <w:p>
      <w:pPr>
        <w:adjustRightInd w:val="0"/>
        <w:snapToGrid w:val="0"/>
        <w:spacing w:line="560" w:lineRule="exact"/>
        <w:ind w:firstLine="640"/>
        <w:outlineLvl w:val="2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3、系分布</w:t>
      </w:r>
    </w:p>
    <w:p>
      <w:pPr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2017届毕业生分布于6个系。其中,毕业人数最多的是经济管理系，共221人，占31.08%；其次是信息工程系，共144人；船舶工程系和食品工程系人数也较多，都超过100人。各系毕业生分布情况如下表所示：</w:t>
      </w:r>
    </w:p>
    <w:p>
      <w:pPr>
        <w:pStyle w:val="4"/>
        <w:spacing w:before="156" w:after="156"/>
        <w:ind w:left="0" w:leftChars="0"/>
        <w:rPr>
          <w:rFonts w:asciiTheme="minorEastAsia" w:hAnsiTheme="minorEastAsia" w:eastAsiaTheme="minorEastAsia"/>
          <w:sz w:val="21"/>
          <w:szCs w:val="21"/>
        </w:rPr>
      </w:pPr>
      <w:bookmarkStart w:id="15" w:name="_Toc502996530"/>
      <w:bookmarkStart w:id="16" w:name="_Toc456096711"/>
      <w:r>
        <w:rPr>
          <w:rFonts w:hint="eastAsia" w:asciiTheme="minorEastAsia" w:hAnsiTheme="minorEastAsia" w:eastAsiaTheme="minorEastAsia"/>
          <w:sz w:val="21"/>
          <w:szCs w:val="21"/>
        </w:rPr>
        <w:t>表</w:t>
      </w:r>
      <w:r>
        <w:rPr>
          <w:rFonts w:asciiTheme="minorEastAsia" w:hAnsiTheme="minorEastAsia" w:eastAsiaTheme="minorEastAsia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sz w:val="21"/>
          <w:szCs w:val="21"/>
        </w:rPr>
        <w:instrText xml:space="preserve"> </w:instrText>
      </w:r>
      <w:r>
        <w:rPr>
          <w:rFonts w:hint="eastAsia" w:asciiTheme="minorEastAsia" w:hAnsiTheme="minorEastAsia" w:eastAsiaTheme="minorEastAsia"/>
          <w:sz w:val="21"/>
          <w:szCs w:val="21"/>
        </w:rPr>
        <w:instrText xml:space="preserve">SEQ 表 \* ARABIC</w:instrText>
      </w:r>
      <w:r>
        <w:rPr>
          <w:rFonts w:asciiTheme="minorEastAsia" w:hAnsiTheme="minorEastAsia" w:eastAsiaTheme="minorEastAsia"/>
          <w:sz w:val="21"/>
          <w:szCs w:val="21"/>
        </w:rPr>
        <w:instrText xml:space="preserve"> </w:instrText>
      </w:r>
      <w:r>
        <w:rPr>
          <w:rFonts w:asciiTheme="minorEastAsia" w:hAnsiTheme="minorEastAsia" w:eastAsiaTheme="minorEastAsia"/>
          <w:sz w:val="21"/>
          <w:szCs w:val="21"/>
        </w:rPr>
        <w:fldChar w:fldCharType="separate"/>
      </w:r>
      <w:r>
        <w:rPr>
          <w:rFonts w:asciiTheme="minorEastAsia" w:hAnsiTheme="minorEastAsia" w:eastAsiaTheme="minorEastAsia"/>
          <w:sz w:val="21"/>
          <w:szCs w:val="21"/>
        </w:rPr>
        <w:t>3</w:t>
      </w:r>
      <w:r>
        <w:rPr>
          <w:rFonts w:asciiTheme="minorEastAsia" w:hAnsiTheme="minorEastAsia" w:eastAsiaTheme="minorEastAsia"/>
          <w:sz w:val="21"/>
          <w:szCs w:val="21"/>
        </w:rPr>
        <w:fldChar w:fldCharType="end"/>
      </w:r>
      <w:r>
        <w:rPr>
          <w:rFonts w:asciiTheme="minorEastAsia" w:hAnsiTheme="minorEastAsia" w:eastAsiaTheme="minorEastAsia"/>
          <w:sz w:val="21"/>
          <w:szCs w:val="21"/>
        </w:rPr>
        <w:t>.</w:t>
      </w:r>
      <w:r>
        <w:rPr>
          <w:rFonts w:hint="eastAsia" w:asciiTheme="minorEastAsia" w:hAnsiTheme="minorEastAsia" w:eastAsiaTheme="minorEastAsia"/>
          <w:sz w:val="21"/>
          <w:szCs w:val="21"/>
        </w:rPr>
        <w:t>毕业生</w:t>
      </w:r>
      <w:r>
        <w:rPr>
          <w:rFonts w:asciiTheme="minorEastAsia" w:hAnsiTheme="minorEastAsia" w:eastAsiaTheme="minorEastAsia"/>
          <w:sz w:val="21"/>
          <w:szCs w:val="21"/>
        </w:rPr>
        <w:t>人数分</w:t>
      </w:r>
      <w:r>
        <w:rPr>
          <w:rFonts w:hint="eastAsia" w:asciiTheme="minorEastAsia" w:hAnsiTheme="minorEastAsia" w:eastAsiaTheme="minorEastAsia"/>
          <w:sz w:val="21"/>
          <w:szCs w:val="21"/>
        </w:rPr>
        <w:t>系</w:t>
      </w:r>
      <w:r>
        <w:rPr>
          <w:rFonts w:asciiTheme="minorEastAsia" w:hAnsiTheme="minorEastAsia" w:eastAsiaTheme="minorEastAsia"/>
          <w:sz w:val="21"/>
          <w:szCs w:val="21"/>
        </w:rPr>
        <w:t>统计表</w:t>
      </w:r>
      <w:bookmarkEnd w:id="15"/>
      <w:bookmarkEnd w:id="16"/>
    </w:p>
    <w:tbl>
      <w:tblPr>
        <w:tblStyle w:val="11"/>
        <w:tblW w:w="7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3667"/>
        <w:gridCol w:w="1629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947" w:type="dxa"/>
            <w:vAlign w:val="center"/>
          </w:tcPr>
          <w:p>
            <w:pPr>
              <w:pStyle w:val="13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67" w:type="dxa"/>
            <w:vAlign w:val="center"/>
          </w:tcPr>
          <w:p>
            <w:pPr>
              <w:pStyle w:val="13"/>
              <w:rPr>
                <w:b/>
              </w:rPr>
            </w:pPr>
            <w:r>
              <w:rPr>
                <w:rFonts w:hint="eastAsia"/>
                <w:b/>
              </w:rPr>
              <w:t>系名称</w:t>
            </w:r>
          </w:p>
        </w:tc>
        <w:tc>
          <w:tcPr>
            <w:tcW w:w="1629" w:type="dxa"/>
            <w:vAlign w:val="center"/>
          </w:tcPr>
          <w:p>
            <w:pPr>
              <w:pStyle w:val="13"/>
              <w:rPr>
                <w:b/>
              </w:rPr>
            </w:pPr>
            <w:r>
              <w:rPr>
                <w:rFonts w:hint="eastAsia"/>
                <w:b/>
              </w:rPr>
              <w:t>生源人数</w:t>
            </w:r>
          </w:p>
        </w:tc>
        <w:tc>
          <w:tcPr>
            <w:tcW w:w="1644" w:type="dxa"/>
            <w:vAlign w:val="center"/>
          </w:tcPr>
          <w:p>
            <w:pPr>
              <w:pStyle w:val="13"/>
              <w:rPr>
                <w:b/>
              </w:rPr>
            </w:pPr>
            <w:r>
              <w:rPr>
                <w:rFonts w:hint="eastAsia"/>
                <w:b/>
              </w:rPr>
              <w:t>生源比例（%）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7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3667" w:type="dxa"/>
            <w:vAlign w:val="center"/>
          </w:tcPr>
          <w:p>
            <w:pPr>
              <w:pStyle w:val="13"/>
              <w:jc w:val="left"/>
            </w:pPr>
            <w:r>
              <w:rPr>
                <w:rFonts w:hint="eastAsia"/>
              </w:rPr>
              <w:t>经济管理系</w:t>
            </w:r>
          </w:p>
        </w:tc>
        <w:tc>
          <w:tcPr>
            <w:tcW w:w="1629" w:type="dxa"/>
            <w:vAlign w:val="center"/>
          </w:tcPr>
          <w:p>
            <w:pPr>
              <w:pStyle w:val="13"/>
            </w:pPr>
            <w:r>
              <w:t>221</w:t>
            </w:r>
          </w:p>
        </w:tc>
        <w:tc>
          <w:tcPr>
            <w:tcW w:w="1644" w:type="dxa"/>
            <w:vAlign w:val="center"/>
          </w:tcPr>
          <w:p>
            <w:pPr>
              <w:pStyle w:val="13"/>
            </w:pPr>
            <w:r>
              <w:t>31.08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7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3667" w:type="dxa"/>
            <w:vAlign w:val="center"/>
          </w:tcPr>
          <w:p>
            <w:pPr>
              <w:pStyle w:val="13"/>
              <w:jc w:val="left"/>
            </w:pPr>
            <w:r>
              <w:rPr>
                <w:rFonts w:hint="eastAsia"/>
              </w:rPr>
              <w:t>信息工程系</w:t>
            </w:r>
          </w:p>
        </w:tc>
        <w:tc>
          <w:tcPr>
            <w:tcW w:w="1629" w:type="dxa"/>
            <w:vAlign w:val="center"/>
          </w:tcPr>
          <w:p>
            <w:pPr>
              <w:pStyle w:val="13"/>
            </w:pPr>
            <w:r>
              <w:t>144</w:t>
            </w:r>
          </w:p>
        </w:tc>
        <w:tc>
          <w:tcPr>
            <w:tcW w:w="1644" w:type="dxa"/>
            <w:vAlign w:val="center"/>
          </w:tcPr>
          <w:p>
            <w:pPr>
              <w:pStyle w:val="13"/>
            </w:pPr>
            <w:r>
              <w:t>20.25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7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3667" w:type="dxa"/>
            <w:vAlign w:val="center"/>
          </w:tcPr>
          <w:p>
            <w:pPr>
              <w:pStyle w:val="13"/>
              <w:jc w:val="left"/>
            </w:pPr>
            <w:r>
              <w:rPr>
                <w:rFonts w:hint="eastAsia"/>
              </w:rPr>
              <w:t>船舶工程系</w:t>
            </w:r>
          </w:p>
        </w:tc>
        <w:tc>
          <w:tcPr>
            <w:tcW w:w="1629" w:type="dxa"/>
            <w:vAlign w:val="center"/>
          </w:tcPr>
          <w:p>
            <w:pPr>
              <w:pStyle w:val="13"/>
            </w:pPr>
            <w:r>
              <w:t>135</w:t>
            </w:r>
          </w:p>
        </w:tc>
        <w:tc>
          <w:tcPr>
            <w:tcW w:w="1644" w:type="dxa"/>
            <w:vAlign w:val="center"/>
          </w:tcPr>
          <w:p>
            <w:pPr>
              <w:pStyle w:val="13"/>
            </w:pPr>
            <w:r>
              <w:t>18.99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7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3667" w:type="dxa"/>
            <w:vAlign w:val="center"/>
          </w:tcPr>
          <w:p>
            <w:pPr>
              <w:pStyle w:val="13"/>
              <w:jc w:val="left"/>
            </w:pPr>
            <w:r>
              <w:rPr>
                <w:rFonts w:hint="eastAsia"/>
              </w:rPr>
              <w:t>食品工程系</w:t>
            </w:r>
          </w:p>
        </w:tc>
        <w:tc>
          <w:tcPr>
            <w:tcW w:w="1629" w:type="dxa"/>
            <w:vAlign w:val="center"/>
          </w:tcPr>
          <w:p>
            <w:pPr>
              <w:pStyle w:val="13"/>
            </w:pPr>
            <w:r>
              <w:t>106</w:t>
            </w:r>
          </w:p>
        </w:tc>
        <w:tc>
          <w:tcPr>
            <w:tcW w:w="1644" w:type="dxa"/>
            <w:vAlign w:val="center"/>
          </w:tcPr>
          <w:p>
            <w:pPr>
              <w:pStyle w:val="13"/>
            </w:pPr>
            <w:r>
              <w:t>14.91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7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3667" w:type="dxa"/>
            <w:vAlign w:val="center"/>
          </w:tcPr>
          <w:p>
            <w:pPr>
              <w:pStyle w:val="13"/>
              <w:jc w:val="left"/>
            </w:pPr>
            <w:r>
              <w:rPr>
                <w:rFonts w:hint="eastAsia"/>
              </w:rPr>
              <w:t>电气工程系</w:t>
            </w:r>
          </w:p>
        </w:tc>
        <w:tc>
          <w:tcPr>
            <w:tcW w:w="1629" w:type="dxa"/>
            <w:vAlign w:val="center"/>
          </w:tcPr>
          <w:p>
            <w:pPr>
              <w:pStyle w:val="13"/>
            </w:pPr>
            <w:r>
              <w:t>65</w:t>
            </w:r>
          </w:p>
        </w:tc>
        <w:tc>
          <w:tcPr>
            <w:tcW w:w="1644" w:type="dxa"/>
            <w:vAlign w:val="center"/>
          </w:tcPr>
          <w:p>
            <w:pPr>
              <w:pStyle w:val="13"/>
            </w:pPr>
            <w:r>
              <w:t>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7" w:type="dxa"/>
            <w:vAlign w:val="center"/>
          </w:tcPr>
          <w:p>
            <w:pPr>
              <w:pStyle w:val="13"/>
            </w:pPr>
            <w:r>
              <w:t>6</w:t>
            </w:r>
          </w:p>
        </w:tc>
        <w:tc>
          <w:tcPr>
            <w:tcW w:w="3667" w:type="dxa"/>
            <w:vAlign w:val="center"/>
          </w:tcPr>
          <w:p>
            <w:pPr>
              <w:pStyle w:val="13"/>
              <w:jc w:val="left"/>
            </w:pPr>
            <w:r>
              <w:rPr>
                <w:rFonts w:hint="eastAsia"/>
              </w:rPr>
              <w:t>海洋水产系</w:t>
            </w:r>
          </w:p>
        </w:tc>
        <w:tc>
          <w:tcPr>
            <w:tcW w:w="1629" w:type="dxa"/>
            <w:vAlign w:val="center"/>
          </w:tcPr>
          <w:p>
            <w:pPr>
              <w:pStyle w:val="13"/>
            </w:pPr>
            <w:r>
              <w:t>40</w:t>
            </w:r>
          </w:p>
        </w:tc>
        <w:tc>
          <w:tcPr>
            <w:tcW w:w="1644" w:type="dxa"/>
            <w:vAlign w:val="center"/>
          </w:tcPr>
          <w:p>
            <w:pPr>
              <w:pStyle w:val="13"/>
            </w:pPr>
            <w:r>
              <w:t>5.63</w:t>
            </w:r>
          </w:p>
        </w:tc>
      </w:tr>
    </w:tbl>
    <w:p>
      <w:pPr>
        <w:spacing w:line="560" w:lineRule="exact"/>
        <w:ind w:left="560" w:firstLine="0" w:firstLineChars="0"/>
      </w:pPr>
    </w:p>
    <w:p>
      <w:pPr>
        <w:adjustRightInd w:val="0"/>
        <w:snapToGrid w:val="0"/>
        <w:spacing w:line="560" w:lineRule="exact"/>
        <w:ind w:firstLine="420" w:firstLineChars="0"/>
        <w:outlineLvl w:val="2"/>
        <w:rPr>
          <w:rFonts w:hint="eastAsia" w:ascii="楷体_GB2312" w:hAnsi="微软雅黑" w:eastAsia="楷体_GB2312"/>
          <w:sz w:val="32"/>
          <w:szCs w:val="28"/>
        </w:rPr>
      </w:pPr>
      <w:r>
        <w:rPr>
          <w:rFonts w:hint="eastAsia" w:ascii="楷体_GB2312" w:hAnsi="微软雅黑" w:eastAsia="楷体_GB2312"/>
          <w:sz w:val="32"/>
          <w:szCs w:val="28"/>
        </w:rPr>
        <w:t>4、性别结构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2017届毕业生按性别统计，男生341人，占47.96%；女生370人，占52.04%。男生所占比例低于女生4.08个百分点。</w:t>
      </w:r>
    </w:p>
    <w:p>
      <w:pPr>
        <w:pStyle w:val="4"/>
        <w:spacing w:before="156" w:after="156"/>
        <w:ind w:left="0" w:leftChars="0"/>
        <w:rPr>
          <w:rFonts w:asciiTheme="minorEastAsia" w:hAnsiTheme="minorEastAsia" w:eastAsiaTheme="minorEastAsia"/>
          <w:sz w:val="21"/>
          <w:szCs w:val="21"/>
        </w:rPr>
      </w:pPr>
      <w:bookmarkStart w:id="17" w:name="xbjg_qxxbjg"/>
      <w:bookmarkEnd w:id="17"/>
      <w:r>
        <w:drawing>
          <wp:inline distT="0" distB="0" distL="0" distR="0">
            <wp:extent cx="2619375" cy="1571625"/>
            <wp:effectExtent l="4445" t="4445" r="5080" b="508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4"/>
        <w:spacing w:before="156" w:after="156"/>
        <w:ind w:left="0" w:leftChars="0"/>
        <w:rPr>
          <w:rFonts w:asciiTheme="minorEastAsia" w:hAnsiTheme="minorEastAsia" w:eastAsiaTheme="minorEastAsia"/>
          <w:sz w:val="21"/>
          <w:szCs w:val="21"/>
        </w:rPr>
      </w:pPr>
      <w:bookmarkStart w:id="18" w:name="_Toc502996623"/>
      <w:r>
        <w:rPr>
          <w:rFonts w:hint="eastAsia" w:asciiTheme="minorEastAsia" w:hAnsiTheme="minorEastAsia" w:eastAsiaTheme="minorEastAsia"/>
          <w:sz w:val="21"/>
          <w:szCs w:val="21"/>
        </w:rPr>
        <w:t>图</w:t>
      </w:r>
      <w:r>
        <w:rPr>
          <w:rFonts w:asciiTheme="minorEastAsia" w:hAnsiTheme="minorEastAsia" w:eastAsiaTheme="minorEastAsia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sz w:val="21"/>
          <w:szCs w:val="21"/>
        </w:rPr>
        <w:instrText xml:space="preserve"> SEQ 图 \* ARABIC </w:instrText>
      </w:r>
      <w:r>
        <w:rPr>
          <w:rFonts w:asciiTheme="minorEastAsia" w:hAnsiTheme="minorEastAsia" w:eastAsiaTheme="minorEastAsia"/>
          <w:sz w:val="21"/>
          <w:szCs w:val="21"/>
        </w:rPr>
        <w:fldChar w:fldCharType="separate"/>
      </w:r>
      <w:r>
        <w:rPr>
          <w:rFonts w:asciiTheme="minorEastAsia" w:hAnsiTheme="minorEastAsia" w:eastAsiaTheme="minorEastAsia"/>
          <w:sz w:val="21"/>
          <w:szCs w:val="21"/>
        </w:rPr>
        <w:t>1</w:t>
      </w:r>
      <w:r>
        <w:rPr>
          <w:rFonts w:asciiTheme="minorEastAsia" w:hAnsiTheme="minorEastAsia" w:eastAsiaTheme="minorEastAsia"/>
          <w:sz w:val="21"/>
          <w:szCs w:val="21"/>
        </w:rPr>
        <w:fldChar w:fldCharType="end"/>
      </w:r>
      <w:r>
        <w:rPr>
          <w:rFonts w:asciiTheme="minorEastAsia" w:hAnsiTheme="minorEastAsia" w:eastAsiaTheme="minorEastAsia"/>
          <w:sz w:val="21"/>
          <w:szCs w:val="21"/>
        </w:rPr>
        <w:t>.</w:t>
      </w:r>
      <w:r>
        <w:rPr>
          <w:rFonts w:hint="eastAsia" w:asciiTheme="minorEastAsia" w:hAnsiTheme="minorEastAsia" w:eastAsiaTheme="minorEastAsia"/>
          <w:sz w:val="21"/>
          <w:szCs w:val="21"/>
        </w:rPr>
        <w:t>毕业生性别结构图</w:t>
      </w:r>
      <w:bookmarkEnd w:id="18"/>
    </w:p>
    <w:p>
      <w:pPr>
        <w:adjustRightInd w:val="0"/>
        <w:snapToGrid w:val="0"/>
        <w:spacing w:line="560" w:lineRule="exact"/>
        <w:ind w:left="420" w:firstLine="0" w:firstLineChars="0"/>
        <w:outlineLvl w:val="2"/>
        <w:rPr>
          <w:rFonts w:hint="eastAsia" w:ascii="楷体_GB2312" w:hAnsi="微软雅黑" w:eastAsia="楷体_GB2312"/>
          <w:sz w:val="32"/>
          <w:szCs w:val="28"/>
        </w:rPr>
      </w:pPr>
      <w:r>
        <w:rPr>
          <w:rFonts w:hint="eastAsia" w:ascii="楷体_GB2312" w:hAnsi="微软雅黑" w:eastAsia="楷体_GB2312"/>
          <w:sz w:val="32"/>
          <w:szCs w:val="28"/>
        </w:rPr>
        <w:t>5、民族结构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按民族统计，2017届毕业生以汉族为主，共699人，占98.31%；少数民族共12人，包括回族、满族、蒙古族3个民族。</w:t>
      </w:r>
    </w:p>
    <w:p>
      <w:pPr>
        <w:pStyle w:val="4"/>
        <w:spacing w:before="156" w:after="156"/>
        <w:ind w:left="0" w:leftChars="0"/>
        <w:rPr>
          <w:rFonts w:asciiTheme="minorEastAsia" w:hAnsiTheme="minorEastAsia" w:eastAsiaTheme="minorEastAsia"/>
          <w:sz w:val="21"/>
          <w:szCs w:val="21"/>
        </w:rPr>
      </w:pPr>
      <w:bookmarkStart w:id="19" w:name="_Toc502996531"/>
      <w:r>
        <w:rPr>
          <w:rFonts w:hint="eastAsia" w:asciiTheme="minorEastAsia" w:hAnsiTheme="minorEastAsia" w:eastAsiaTheme="minorEastAsia"/>
          <w:sz w:val="21"/>
          <w:szCs w:val="21"/>
        </w:rPr>
        <w:t>表</w:t>
      </w:r>
      <w:r>
        <w:rPr>
          <w:rFonts w:asciiTheme="minorEastAsia" w:hAnsiTheme="minorEastAsia" w:eastAsiaTheme="minorEastAsia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sz w:val="21"/>
          <w:szCs w:val="21"/>
        </w:rPr>
        <w:instrText xml:space="preserve"> </w:instrText>
      </w:r>
      <w:r>
        <w:rPr>
          <w:rFonts w:hint="eastAsia" w:asciiTheme="minorEastAsia" w:hAnsiTheme="minorEastAsia" w:eastAsiaTheme="minorEastAsia"/>
          <w:sz w:val="21"/>
          <w:szCs w:val="21"/>
        </w:rPr>
        <w:instrText xml:space="preserve">SEQ 表 \* ARABIC</w:instrText>
      </w:r>
      <w:r>
        <w:rPr>
          <w:rFonts w:asciiTheme="minorEastAsia" w:hAnsiTheme="minorEastAsia" w:eastAsiaTheme="minorEastAsia"/>
          <w:sz w:val="21"/>
          <w:szCs w:val="21"/>
        </w:rPr>
        <w:instrText xml:space="preserve"> </w:instrText>
      </w:r>
      <w:r>
        <w:rPr>
          <w:rFonts w:asciiTheme="minorEastAsia" w:hAnsiTheme="minorEastAsia" w:eastAsiaTheme="minorEastAsia"/>
          <w:sz w:val="21"/>
          <w:szCs w:val="21"/>
        </w:rPr>
        <w:fldChar w:fldCharType="separate"/>
      </w:r>
      <w:r>
        <w:rPr>
          <w:rFonts w:asciiTheme="minorEastAsia" w:hAnsiTheme="minorEastAsia" w:eastAsiaTheme="minorEastAsia"/>
          <w:sz w:val="21"/>
          <w:szCs w:val="21"/>
        </w:rPr>
        <w:t>4</w:t>
      </w:r>
      <w:r>
        <w:rPr>
          <w:rFonts w:asciiTheme="minorEastAsia" w:hAnsiTheme="minorEastAsia" w:eastAsiaTheme="minorEastAsia"/>
          <w:sz w:val="21"/>
          <w:szCs w:val="21"/>
        </w:rPr>
        <w:fldChar w:fldCharType="end"/>
      </w:r>
      <w:r>
        <w:rPr>
          <w:rFonts w:asciiTheme="minorEastAsia" w:hAnsiTheme="minorEastAsia" w:eastAsiaTheme="minorEastAsia"/>
          <w:sz w:val="21"/>
          <w:szCs w:val="21"/>
        </w:rPr>
        <w:t>.</w:t>
      </w:r>
      <w:r>
        <w:rPr>
          <w:rFonts w:hint="eastAsia" w:asciiTheme="minorEastAsia" w:hAnsiTheme="minorEastAsia" w:eastAsiaTheme="minorEastAsia"/>
          <w:sz w:val="21"/>
          <w:szCs w:val="21"/>
        </w:rPr>
        <w:t>毕业生</w:t>
      </w:r>
      <w:r>
        <w:rPr>
          <w:rFonts w:asciiTheme="minorEastAsia" w:hAnsiTheme="minorEastAsia" w:eastAsiaTheme="minorEastAsia"/>
          <w:sz w:val="21"/>
          <w:szCs w:val="21"/>
        </w:rPr>
        <w:t>人数分</w:t>
      </w:r>
      <w:r>
        <w:rPr>
          <w:rFonts w:hint="eastAsia" w:asciiTheme="minorEastAsia" w:hAnsiTheme="minorEastAsia" w:eastAsiaTheme="minorEastAsia"/>
          <w:sz w:val="21"/>
          <w:szCs w:val="21"/>
        </w:rPr>
        <w:t>民族</w:t>
      </w:r>
      <w:r>
        <w:rPr>
          <w:rFonts w:asciiTheme="minorEastAsia" w:hAnsiTheme="minorEastAsia" w:eastAsiaTheme="minorEastAsia"/>
          <w:sz w:val="21"/>
          <w:szCs w:val="21"/>
        </w:rPr>
        <w:t>统计表</w:t>
      </w:r>
      <w:bookmarkEnd w:id="19"/>
    </w:p>
    <w:tbl>
      <w:tblPr>
        <w:tblStyle w:val="11"/>
        <w:tblW w:w="7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3667"/>
        <w:gridCol w:w="1629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947" w:type="dxa"/>
            <w:vAlign w:val="center"/>
          </w:tcPr>
          <w:p>
            <w:pPr>
              <w:pStyle w:val="13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67" w:type="dxa"/>
            <w:vAlign w:val="center"/>
          </w:tcPr>
          <w:p>
            <w:pPr>
              <w:pStyle w:val="13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629" w:type="dxa"/>
            <w:vAlign w:val="center"/>
          </w:tcPr>
          <w:p>
            <w:pPr>
              <w:pStyle w:val="13"/>
              <w:rPr>
                <w:b/>
              </w:rPr>
            </w:pPr>
            <w:r>
              <w:rPr>
                <w:rFonts w:hint="eastAsia"/>
                <w:b/>
              </w:rPr>
              <w:t>生源人数</w:t>
            </w:r>
          </w:p>
        </w:tc>
        <w:tc>
          <w:tcPr>
            <w:tcW w:w="1644" w:type="dxa"/>
            <w:vAlign w:val="center"/>
          </w:tcPr>
          <w:p>
            <w:pPr>
              <w:pStyle w:val="13"/>
              <w:rPr>
                <w:b/>
              </w:rPr>
            </w:pPr>
            <w:r>
              <w:rPr>
                <w:rFonts w:hint="eastAsia"/>
                <w:b/>
              </w:rPr>
              <w:t>生源比例（%）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7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3667" w:type="dxa"/>
            <w:vAlign w:val="center"/>
          </w:tcPr>
          <w:p>
            <w:pPr>
              <w:pStyle w:val="13"/>
              <w:jc w:val="left"/>
            </w:pPr>
            <w:r>
              <w:rPr>
                <w:rFonts w:hint="eastAsia"/>
              </w:rPr>
              <w:t>汉族</w:t>
            </w:r>
          </w:p>
        </w:tc>
        <w:tc>
          <w:tcPr>
            <w:tcW w:w="1629" w:type="dxa"/>
            <w:vAlign w:val="center"/>
          </w:tcPr>
          <w:p>
            <w:pPr>
              <w:pStyle w:val="13"/>
            </w:pPr>
            <w:r>
              <w:t>699</w:t>
            </w:r>
          </w:p>
        </w:tc>
        <w:tc>
          <w:tcPr>
            <w:tcW w:w="1644" w:type="dxa"/>
            <w:vAlign w:val="center"/>
          </w:tcPr>
          <w:p>
            <w:pPr>
              <w:pStyle w:val="13"/>
            </w:pPr>
            <w:r>
              <w:t>98.31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7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3667" w:type="dxa"/>
            <w:vAlign w:val="center"/>
          </w:tcPr>
          <w:p>
            <w:pPr>
              <w:pStyle w:val="13"/>
              <w:jc w:val="left"/>
            </w:pPr>
            <w:r>
              <w:rPr>
                <w:rFonts w:hint="eastAsia"/>
              </w:rPr>
              <w:t>回族</w:t>
            </w:r>
          </w:p>
        </w:tc>
        <w:tc>
          <w:tcPr>
            <w:tcW w:w="1629" w:type="dxa"/>
            <w:vAlign w:val="center"/>
          </w:tcPr>
          <w:p>
            <w:pPr>
              <w:pStyle w:val="13"/>
            </w:pPr>
            <w:r>
              <w:t>9</w:t>
            </w:r>
          </w:p>
        </w:tc>
        <w:tc>
          <w:tcPr>
            <w:tcW w:w="1644" w:type="dxa"/>
            <w:vAlign w:val="center"/>
          </w:tcPr>
          <w:p>
            <w:pPr>
              <w:pStyle w:val="13"/>
            </w:pPr>
            <w:r>
              <w:t>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7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3667" w:type="dxa"/>
            <w:vAlign w:val="center"/>
          </w:tcPr>
          <w:p>
            <w:pPr>
              <w:pStyle w:val="13"/>
              <w:jc w:val="left"/>
            </w:pPr>
            <w:r>
              <w:rPr>
                <w:rFonts w:hint="eastAsia"/>
              </w:rPr>
              <w:t>满族</w:t>
            </w:r>
          </w:p>
        </w:tc>
        <w:tc>
          <w:tcPr>
            <w:tcW w:w="1629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1644" w:type="dxa"/>
            <w:vAlign w:val="center"/>
          </w:tcPr>
          <w:p>
            <w:pPr>
              <w:pStyle w:val="13"/>
            </w:pPr>
            <w:r>
              <w:t>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7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3667" w:type="dxa"/>
            <w:vAlign w:val="center"/>
          </w:tcPr>
          <w:p>
            <w:pPr>
              <w:pStyle w:val="13"/>
              <w:jc w:val="left"/>
            </w:pPr>
            <w:r>
              <w:rPr>
                <w:rFonts w:hint="eastAsia"/>
              </w:rPr>
              <w:t>蒙古族</w:t>
            </w:r>
          </w:p>
        </w:tc>
        <w:tc>
          <w:tcPr>
            <w:tcW w:w="162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1644" w:type="dxa"/>
            <w:vAlign w:val="center"/>
          </w:tcPr>
          <w:p>
            <w:pPr>
              <w:pStyle w:val="13"/>
            </w:pPr>
            <w:r>
              <w:t>0.14</w:t>
            </w:r>
          </w:p>
        </w:tc>
      </w:tr>
    </w:tbl>
    <w:p>
      <w:pPr>
        <w:ind w:firstLine="420"/>
      </w:pPr>
    </w:p>
    <w:p>
      <w:pPr>
        <w:adjustRightInd w:val="0"/>
        <w:snapToGrid w:val="0"/>
        <w:spacing w:line="360" w:lineRule="auto"/>
        <w:ind w:firstLine="640"/>
        <w:outlineLvl w:val="2"/>
        <w:rPr>
          <w:rFonts w:hint="eastAsia" w:ascii="楷体_GB2312" w:hAnsi="微软雅黑" w:eastAsia="楷体_GB2312"/>
          <w:sz w:val="32"/>
          <w:szCs w:val="28"/>
        </w:rPr>
      </w:pPr>
      <w:r>
        <w:rPr>
          <w:rFonts w:hint="eastAsia" w:ascii="楷体_GB2312" w:hAnsi="微软雅黑" w:eastAsia="楷体_GB2312"/>
          <w:sz w:val="32"/>
          <w:szCs w:val="28"/>
        </w:rPr>
        <w:t>6、生源地结构</w:t>
      </w:r>
    </w:p>
    <w:p>
      <w:pPr>
        <w:adjustRightInd w:val="0"/>
        <w:snapToGrid w:val="0"/>
        <w:spacing w:line="360" w:lineRule="auto"/>
        <w:ind w:firstLine="64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按生源地统计，2017届毕业生以山东生源为主，占毕业生总数的99.02%，其中菏泽、潍坊、淄博、济宁等市生源较多；外省生源占0.98%，来自安徽、贵州、河北、四川、浙江、辽宁和吉林7个省。</w:t>
      </w:r>
    </w:p>
    <w:p>
      <w:pPr>
        <w:pStyle w:val="14"/>
        <w:snapToGrid w:val="0"/>
        <w:spacing w:after="156" w:afterLines="50"/>
        <w:rPr>
          <w:sz w:val="24"/>
        </w:rPr>
      </w:pPr>
      <w:bookmarkStart w:id="20" w:name="sydfb_snsyd"/>
      <w:bookmarkEnd w:id="20"/>
      <w:r>
        <w:drawing>
          <wp:inline distT="0" distB="0" distL="0" distR="0">
            <wp:extent cx="5278120" cy="1981835"/>
            <wp:effectExtent l="4445" t="4445" r="13335" b="1397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4"/>
        <w:spacing w:before="156" w:after="156"/>
        <w:ind w:left="0" w:leftChars="0"/>
        <w:rPr>
          <w:rFonts w:asciiTheme="minorEastAsia" w:hAnsiTheme="minorEastAsia" w:eastAsiaTheme="minorEastAsia"/>
          <w:sz w:val="21"/>
          <w:szCs w:val="21"/>
        </w:rPr>
      </w:pPr>
      <w:bookmarkStart w:id="21" w:name="_Toc456096679"/>
      <w:bookmarkStart w:id="22" w:name="_Toc502996624"/>
      <w:r>
        <w:rPr>
          <w:rFonts w:hint="eastAsia" w:asciiTheme="minorEastAsia" w:hAnsiTheme="minorEastAsia" w:eastAsiaTheme="minorEastAsia"/>
          <w:sz w:val="21"/>
          <w:szCs w:val="21"/>
        </w:rPr>
        <w:t>图</w:t>
      </w:r>
      <w:r>
        <w:rPr>
          <w:rFonts w:asciiTheme="minorEastAsia" w:hAnsiTheme="minorEastAsia" w:eastAsiaTheme="minorEastAsia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sz w:val="21"/>
          <w:szCs w:val="21"/>
        </w:rPr>
        <w:instrText xml:space="preserve"> </w:instrText>
      </w:r>
      <w:r>
        <w:rPr>
          <w:rFonts w:hint="eastAsia" w:asciiTheme="minorEastAsia" w:hAnsiTheme="minorEastAsia" w:eastAsiaTheme="minorEastAsia"/>
          <w:sz w:val="21"/>
          <w:szCs w:val="21"/>
        </w:rPr>
        <w:instrText xml:space="preserve">SEQ 图 \* ARABIC</w:instrText>
      </w:r>
      <w:r>
        <w:rPr>
          <w:rFonts w:asciiTheme="minorEastAsia" w:hAnsiTheme="minorEastAsia" w:eastAsiaTheme="minorEastAsia"/>
          <w:sz w:val="21"/>
          <w:szCs w:val="21"/>
        </w:rPr>
        <w:instrText xml:space="preserve"> </w:instrText>
      </w:r>
      <w:r>
        <w:rPr>
          <w:rFonts w:asciiTheme="minorEastAsia" w:hAnsiTheme="minorEastAsia" w:eastAsiaTheme="minorEastAsia"/>
          <w:sz w:val="21"/>
          <w:szCs w:val="21"/>
        </w:rPr>
        <w:fldChar w:fldCharType="separate"/>
      </w:r>
      <w:r>
        <w:rPr>
          <w:rFonts w:asciiTheme="minorEastAsia" w:hAnsiTheme="minorEastAsia" w:eastAsiaTheme="minorEastAsia"/>
          <w:sz w:val="21"/>
          <w:szCs w:val="21"/>
        </w:rPr>
        <w:t>2</w:t>
      </w:r>
      <w:r>
        <w:rPr>
          <w:rFonts w:asciiTheme="minorEastAsia" w:hAnsiTheme="minorEastAsia" w:eastAsiaTheme="minorEastAsia"/>
          <w:sz w:val="21"/>
          <w:szCs w:val="21"/>
        </w:rPr>
        <w:fldChar w:fldCharType="end"/>
      </w:r>
      <w:r>
        <w:rPr>
          <w:rFonts w:asciiTheme="minorEastAsia" w:hAnsiTheme="minorEastAsia" w:eastAsiaTheme="minorEastAsia"/>
          <w:sz w:val="21"/>
          <w:szCs w:val="21"/>
        </w:rPr>
        <w:t>.</w:t>
      </w:r>
      <w:r>
        <w:rPr>
          <w:rFonts w:hint="eastAsia" w:asciiTheme="minorEastAsia" w:hAnsiTheme="minorEastAsia" w:eastAsiaTheme="minorEastAsia"/>
          <w:sz w:val="21"/>
          <w:szCs w:val="21"/>
        </w:rPr>
        <w:t>毕业生生源地结构图</w:t>
      </w:r>
      <w:bookmarkEnd w:id="21"/>
      <w:bookmarkEnd w:id="22"/>
      <w:bookmarkStart w:id="23" w:name="_Toc456096712"/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省外毕业生</w:t>
      </w:r>
      <w:r>
        <w:rPr>
          <w:rFonts w:hint="eastAsia" w:ascii="宋体" w:hAnsi="宋体"/>
          <w:sz w:val="24"/>
        </w:rPr>
        <w:t>生源地</w:t>
      </w:r>
      <w:r>
        <w:rPr>
          <w:rFonts w:ascii="宋体" w:hAnsi="宋体"/>
          <w:sz w:val="24"/>
        </w:rPr>
        <w:t>分布如下</w:t>
      </w:r>
      <w:r>
        <w:rPr>
          <w:rFonts w:hint="eastAsia" w:ascii="宋体" w:hAnsi="宋体"/>
          <w:sz w:val="24"/>
        </w:rPr>
        <w:t>：</w:t>
      </w:r>
    </w:p>
    <w:p>
      <w:pPr>
        <w:pStyle w:val="4"/>
        <w:spacing w:before="156" w:after="156"/>
        <w:ind w:left="0" w:leftChars="0"/>
        <w:rPr>
          <w:rFonts w:asciiTheme="minorEastAsia" w:hAnsiTheme="minorEastAsia" w:eastAsiaTheme="minorEastAsia"/>
          <w:sz w:val="21"/>
          <w:szCs w:val="21"/>
        </w:rPr>
      </w:pPr>
      <w:bookmarkStart w:id="24" w:name="_Toc502996532"/>
      <w:r>
        <w:rPr>
          <w:rFonts w:hint="eastAsia" w:asciiTheme="minorEastAsia" w:hAnsiTheme="minorEastAsia" w:eastAsiaTheme="minorEastAsia"/>
          <w:sz w:val="21"/>
          <w:szCs w:val="21"/>
        </w:rPr>
        <w:t>表</w:t>
      </w:r>
      <w:r>
        <w:rPr>
          <w:rFonts w:asciiTheme="minorEastAsia" w:hAnsiTheme="minorEastAsia" w:eastAsiaTheme="minorEastAsia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sz w:val="21"/>
          <w:szCs w:val="21"/>
        </w:rPr>
        <w:instrText xml:space="preserve"> </w:instrText>
      </w:r>
      <w:r>
        <w:rPr>
          <w:rFonts w:hint="eastAsia" w:asciiTheme="minorEastAsia" w:hAnsiTheme="minorEastAsia" w:eastAsiaTheme="minorEastAsia"/>
          <w:sz w:val="21"/>
          <w:szCs w:val="21"/>
        </w:rPr>
        <w:instrText xml:space="preserve">SEQ 表 \* ARABIC</w:instrText>
      </w:r>
      <w:r>
        <w:rPr>
          <w:rFonts w:asciiTheme="minorEastAsia" w:hAnsiTheme="minorEastAsia" w:eastAsiaTheme="minorEastAsia"/>
          <w:sz w:val="21"/>
          <w:szCs w:val="21"/>
        </w:rPr>
        <w:instrText xml:space="preserve"> </w:instrText>
      </w:r>
      <w:r>
        <w:rPr>
          <w:rFonts w:asciiTheme="minorEastAsia" w:hAnsiTheme="minorEastAsia" w:eastAsiaTheme="minorEastAsia"/>
          <w:sz w:val="21"/>
          <w:szCs w:val="21"/>
        </w:rPr>
        <w:fldChar w:fldCharType="separate"/>
      </w:r>
      <w:r>
        <w:rPr>
          <w:rFonts w:asciiTheme="minorEastAsia" w:hAnsiTheme="minorEastAsia" w:eastAsiaTheme="minorEastAsia"/>
          <w:sz w:val="21"/>
          <w:szCs w:val="21"/>
        </w:rPr>
        <w:t>5</w:t>
      </w:r>
      <w:r>
        <w:rPr>
          <w:rFonts w:asciiTheme="minorEastAsia" w:hAnsiTheme="minorEastAsia" w:eastAsiaTheme="minorEastAsia"/>
          <w:sz w:val="21"/>
          <w:szCs w:val="21"/>
        </w:rPr>
        <w:fldChar w:fldCharType="end"/>
      </w:r>
      <w:r>
        <w:rPr>
          <w:rFonts w:asciiTheme="minorEastAsia" w:hAnsiTheme="minorEastAsia" w:eastAsiaTheme="minorEastAsia"/>
          <w:sz w:val="21"/>
          <w:szCs w:val="21"/>
        </w:rPr>
        <w:t>.</w:t>
      </w:r>
      <w:r>
        <w:rPr>
          <w:rFonts w:hint="eastAsia" w:asciiTheme="minorEastAsia" w:hAnsiTheme="minorEastAsia" w:eastAsiaTheme="minorEastAsia"/>
          <w:sz w:val="21"/>
          <w:szCs w:val="21"/>
        </w:rPr>
        <w:t>省外毕业生人数分生源</w:t>
      </w:r>
      <w:r>
        <w:rPr>
          <w:rFonts w:asciiTheme="minorEastAsia" w:hAnsiTheme="minorEastAsia" w:eastAsiaTheme="minorEastAsia"/>
          <w:sz w:val="21"/>
          <w:szCs w:val="21"/>
        </w:rPr>
        <w:t>地</w:t>
      </w:r>
      <w:r>
        <w:rPr>
          <w:rFonts w:hint="eastAsia" w:asciiTheme="minorEastAsia" w:hAnsiTheme="minorEastAsia" w:eastAsiaTheme="minorEastAsia"/>
          <w:sz w:val="21"/>
          <w:szCs w:val="21"/>
        </w:rPr>
        <w:t>统计</w:t>
      </w:r>
      <w:r>
        <w:rPr>
          <w:rFonts w:asciiTheme="minorEastAsia" w:hAnsiTheme="minorEastAsia" w:eastAsiaTheme="minorEastAsia"/>
          <w:sz w:val="21"/>
          <w:szCs w:val="21"/>
        </w:rPr>
        <w:t>表</w:t>
      </w:r>
      <w:bookmarkEnd w:id="23"/>
      <w:bookmarkEnd w:id="24"/>
    </w:p>
    <w:tbl>
      <w:tblPr>
        <w:tblStyle w:val="11"/>
        <w:tblW w:w="7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3667"/>
        <w:gridCol w:w="1629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947" w:type="dxa"/>
            <w:vAlign w:val="center"/>
          </w:tcPr>
          <w:p>
            <w:pPr>
              <w:pStyle w:val="13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67" w:type="dxa"/>
            <w:vAlign w:val="center"/>
          </w:tcPr>
          <w:p>
            <w:pPr>
              <w:pStyle w:val="13"/>
              <w:rPr>
                <w:b/>
              </w:rPr>
            </w:pPr>
            <w:r>
              <w:rPr>
                <w:rFonts w:hint="eastAsia"/>
                <w:b/>
              </w:rPr>
              <w:t>生源地</w:t>
            </w:r>
          </w:p>
        </w:tc>
        <w:tc>
          <w:tcPr>
            <w:tcW w:w="1629" w:type="dxa"/>
            <w:vAlign w:val="center"/>
          </w:tcPr>
          <w:p>
            <w:pPr>
              <w:pStyle w:val="13"/>
              <w:rPr>
                <w:b/>
              </w:rPr>
            </w:pPr>
            <w:r>
              <w:rPr>
                <w:rFonts w:hint="eastAsia"/>
                <w:b/>
              </w:rPr>
              <w:t>生源人数</w:t>
            </w:r>
          </w:p>
        </w:tc>
        <w:tc>
          <w:tcPr>
            <w:tcW w:w="1644" w:type="dxa"/>
            <w:vAlign w:val="center"/>
          </w:tcPr>
          <w:p>
            <w:pPr>
              <w:pStyle w:val="13"/>
              <w:rPr>
                <w:b/>
              </w:rPr>
            </w:pPr>
            <w:r>
              <w:rPr>
                <w:rFonts w:hint="eastAsia"/>
                <w:b/>
              </w:rPr>
              <w:t>生源比例（%）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7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3667" w:type="dxa"/>
            <w:vAlign w:val="center"/>
          </w:tcPr>
          <w:p>
            <w:pPr>
              <w:pStyle w:val="13"/>
              <w:jc w:val="left"/>
            </w:pPr>
            <w:r>
              <w:rPr>
                <w:rFonts w:hint="eastAsia"/>
              </w:rPr>
              <w:t>安徽省</w:t>
            </w:r>
          </w:p>
        </w:tc>
        <w:tc>
          <w:tcPr>
            <w:tcW w:w="162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1644" w:type="dxa"/>
            <w:vAlign w:val="center"/>
          </w:tcPr>
          <w:p>
            <w:pPr>
              <w:pStyle w:val="13"/>
            </w:pPr>
            <w: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7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3667" w:type="dxa"/>
            <w:vAlign w:val="center"/>
          </w:tcPr>
          <w:p>
            <w:pPr>
              <w:pStyle w:val="13"/>
              <w:jc w:val="left"/>
            </w:pPr>
            <w:r>
              <w:rPr>
                <w:rFonts w:hint="eastAsia"/>
              </w:rPr>
              <w:t>贵州省</w:t>
            </w:r>
          </w:p>
        </w:tc>
        <w:tc>
          <w:tcPr>
            <w:tcW w:w="162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1644" w:type="dxa"/>
            <w:vAlign w:val="center"/>
          </w:tcPr>
          <w:p>
            <w:pPr>
              <w:pStyle w:val="13"/>
            </w:pPr>
            <w: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7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3667" w:type="dxa"/>
            <w:vAlign w:val="center"/>
          </w:tcPr>
          <w:p>
            <w:pPr>
              <w:pStyle w:val="13"/>
              <w:jc w:val="left"/>
            </w:pPr>
            <w:r>
              <w:rPr>
                <w:rFonts w:hint="eastAsia"/>
              </w:rPr>
              <w:t>河北省</w:t>
            </w:r>
          </w:p>
        </w:tc>
        <w:tc>
          <w:tcPr>
            <w:tcW w:w="162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1644" w:type="dxa"/>
            <w:vAlign w:val="center"/>
          </w:tcPr>
          <w:p>
            <w:pPr>
              <w:pStyle w:val="13"/>
            </w:pPr>
            <w: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7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3667" w:type="dxa"/>
            <w:vAlign w:val="center"/>
          </w:tcPr>
          <w:p>
            <w:pPr>
              <w:pStyle w:val="13"/>
              <w:jc w:val="left"/>
            </w:pPr>
            <w:r>
              <w:rPr>
                <w:rFonts w:hint="eastAsia"/>
              </w:rPr>
              <w:t>四川省</w:t>
            </w:r>
          </w:p>
        </w:tc>
        <w:tc>
          <w:tcPr>
            <w:tcW w:w="162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1644" w:type="dxa"/>
            <w:vAlign w:val="center"/>
          </w:tcPr>
          <w:p>
            <w:pPr>
              <w:pStyle w:val="13"/>
            </w:pPr>
            <w: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7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3667" w:type="dxa"/>
            <w:vAlign w:val="center"/>
          </w:tcPr>
          <w:p>
            <w:pPr>
              <w:pStyle w:val="13"/>
              <w:jc w:val="left"/>
            </w:pPr>
            <w:r>
              <w:rPr>
                <w:rFonts w:hint="eastAsia"/>
              </w:rPr>
              <w:t>浙江省</w:t>
            </w:r>
          </w:p>
        </w:tc>
        <w:tc>
          <w:tcPr>
            <w:tcW w:w="162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1644" w:type="dxa"/>
            <w:vAlign w:val="center"/>
          </w:tcPr>
          <w:p>
            <w:pPr>
              <w:pStyle w:val="13"/>
            </w:pPr>
            <w: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7" w:type="dxa"/>
            <w:vAlign w:val="center"/>
          </w:tcPr>
          <w:p>
            <w:pPr>
              <w:pStyle w:val="13"/>
            </w:pPr>
            <w:r>
              <w:t>6</w:t>
            </w:r>
          </w:p>
        </w:tc>
        <w:tc>
          <w:tcPr>
            <w:tcW w:w="3667" w:type="dxa"/>
            <w:vAlign w:val="center"/>
          </w:tcPr>
          <w:p>
            <w:pPr>
              <w:pStyle w:val="13"/>
              <w:jc w:val="left"/>
            </w:pPr>
            <w:r>
              <w:rPr>
                <w:rFonts w:hint="eastAsia"/>
              </w:rPr>
              <w:t>辽宁省</w:t>
            </w:r>
          </w:p>
        </w:tc>
        <w:tc>
          <w:tcPr>
            <w:tcW w:w="162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1644" w:type="dxa"/>
            <w:vAlign w:val="center"/>
          </w:tcPr>
          <w:p>
            <w:pPr>
              <w:pStyle w:val="13"/>
            </w:pPr>
            <w: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7" w:type="dxa"/>
            <w:vAlign w:val="center"/>
          </w:tcPr>
          <w:p>
            <w:pPr>
              <w:pStyle w:val="13"/>
            </w:pPr>
            <w:r>
              <w:t>7</w:t>
            </w:r>
          </w:p>
        </w:tc>
        <w:tc>
          <w:tcPr>
            <w:tcW w:w="3667" w:type="dxa"/>
            <w:vAlign w:val="center"/>
          </w:tcPr>
          <w:p>
            <w:pPr>
              <w:pStyle w:val="13"/>
              <w:jc w:val="left"/>
            </w:pPr>
            <w:r>
              <w:rPr>
                <w:rFonts w:hint="eastAsia"/>
              </w:rPr>
              <w:t>吉林省</w:t>
            </w:r>
          </w:p>
        </w:tc>
        <w:tc>
          <w:tcPr>
            <w:tcW w:w="162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1644" w:type="dxa"/>
            <w:vAlign w:val="center"/>
          </w:tcPr>
          <w:p>
            <w:pPr>
              <w:pStyle w:val="13"/>
            </w:pPr>
            <w:r>
              <w:t>0.14</w:t>
            </w:r>
          </w:p>
        </w:tc>
      </w:tr>
    </w:tbl>
    <w:p>
      <w:pPr>
        <w:adjustRightInd w:val="0"/>
        <w:snapToGrid w:val="0"/>
        <w:spacing w:line="360" w:lineRule="auto"/>
        <w:ind w:firstLine="0" w:firstLineChars="0"/>
        <w:outlineLvl w:val="1"/>
      </w:pPr>
      <w:bookmarkStart w:id="25" w:name="_Toc502996378"/>
    </w:p>
    <w:p>
      <w:pPr>
        <w:adjustRightInd w:val="0"/>
        <w:snapToGrid w:val="0"/>
        <w:spacing w:line="560" w:lineRule="exact"/>
        <w:ind w:firstLine="643"/>
        <w:outlineLvl w:val="1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（三）毕业生就业率</w:t>
      </w:r>
      <w:bookmarkEnd w:id="25"/>
    </w:p>
    <w:p>
      <w:pPr>
        <w:adjustRightInd w:val="0"/>
        <w:snapToGrid w:val="0"/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截至2017年12月31日，2017届毕业生实现就业683人，总体就业率为96.06%。</w:t>
      </w:r>
    </w:p>
    <w:p>
      <w:pPr>
        <w:adjustRightInd w:val="0"/>
        <w:snapToGrid w:val="0"/>
        <w:spacing w:line="560" w:lineRule="exact"/>
        <w:ind w:firstLine="640"/>
        <w:outlineLvl w:val="2"/>
        <w:rPr>
          <w:rFonts w:hint="eastAsia" w:ascii="楷体_GB2312" w:hAnsi="微软雅黑" w:eastAsia="楷体_GB2312"/>
          <w:sz w:val="32"/>
          <w:szCs w:val="32"/>
        </w:rPr>
      </w:pPr>
      <w:r>
        <w:rPr>
          <w:rFonts w:hint="eastAsia" w:ascii="楷体_GB2312" w:hAnsi="微软雅黑" w:eastAsia="楷体_GB2312"/>
          <w:sz w:val="32"/>
          <w:szCs w:val="32"/>
        </w:rPr>
        <w:t>1、按专业大类统计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2017届毕业生分布于4个专业大类，截至报告期，所有专业大类就业率达95%以上，其中农林牧渔大类就业率达100%。各专业大类就业率如下表所示：</w:t>
      </w:r>
    </w:p>
    <w:p>
      <w:pPr>
        <w:pStyle w:val="4"/>
        <w:spacing w:before="156" w:after="156"/>
        <w:ind w:left="0" w:leftChars="0"/>
        <w:rPr>
          <w:rFonts w:ascii="宋体" w:hAnsi="宋体"/>
          <w:sz w:val="21"/>
          <w:szCs w:val="21"/>
        </w:rPr>
      </w:pPr>
      <w:bookmarkStart w:id="26" w:name="_Toc502996533"/>
      <w:r>
        <w:rPr>
          <w:rFonts w:hint="eastAsia" w:ascii="宋体" w:hAnsi="宋体"/>
          <w:sz w:val="21"/>
          <w:szCs w:val="21"/>
        </w:rPr>
        <w:t>表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instrText xml:space="preserve">SEQ 表 \* ARABIC</w:instrText>
      </w:r>
      <w:r>
        <w:rPr>
          <w:rFonts w:ascii="宋体" w:hAnsi="宋体"/>
          <w:sz w:val="21"/>
          <w:szCs w:val="21"/>
        </w:rPr>
        <w:instrText xml:space="preserve">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6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.毕业生就业率</w:t>
      </w:r>
      <w:r>
        <w:rPr>
          <w:rFonts w:ascii="宋体" w:hAnsi="宋体"/>
          <w:sz w:val="21"/>
          <w:szCs w:val="21"/>
        </w:rPr>
        <w:t>分</w:t>
      </w:r>
      <w:r>
        <w:rPr>
          <w:rFonts w:hint="eastAsia" w:ascii="宋体" w:hAnsi="宋体"/>
          <w:sz w:val="21"/>
          <w:szCs w:val="21"/>
        </w:rPr>
        <w:t>专业大类统计表</w:t>
      </w:r>
      <w:bookmarkEnd w:id="26"/>
    </w:p>
    <w:tbl>
      <w:tblPr>
        <w:tblStyle w:val="11"/>
        <w:tblW w:w="7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401"/>
        <w:gridCol w:w="1134"/>
        <w:gridCol w:w="1134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705" w:type="dxa"/>
            <w:vAlign w:val="center"/>
          </w:tcPr>
          <w:p>
            <w:pPr>
              <w:pStyle w:val="13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01" w:type="dxa"/>
            <w:vAlign w:val="center"/>
          </w:tcPr>
          <w:p>
            <w:pPr>
              <w:pStyle w:val="13"/>
              <w:rPr>
                <w:b/>
              </w:rPr>
            </w:pPr>
            <w:r>
              <w:rPr>
                <w:rFonts w:hint="eastAsia"/>
                <w:b/>
              </w:rPr>
              <w:t>学科门类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b/>
              </w:rPr>
            </w:pPr>
            <w:r>
              <w:rPr>
                <w:rFonts w:hint="eastAsia"/>
                <w:b/>
              </w:rPr>
              <w:t>生源</w:t>
            </w:r>
            <w:r>
              <w:rPr>
                <w:b/>
              </w:rPr>
              <w:t>人数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b/>
              </w:rPr>
            </w:pPr>
            <w:r>
              <w:rPr>
                <w:rFonts w:hint="eastAsia"/>
                <w:b/>
              </w:rPr>
              <w:t>就业</w:t>
            </w:r>
            <w:r>
              <w:rPr>
                <w:b/>
              </w:rPr>
              <w:t>人数</w:t>
            </w:r>
          </w:p>
        </w:tc>
        <w:tc>
          <w:tcPr>
            <w:tcW w:w="1513" w:type="dxa"/>
            <w:vAlign w:val="center"/>
          </w:tcPr>
          <w:p>
            <w:pPr>
              <w:pStyle w:val="13"/>
              <w:rPr>
                <w:b/>
              </w:rPr>
            </w:pPr>
            <w:r>
              <w:rPr>
                <w:rFonts w:hint="eastAsia"/>
                <w:b/>
              </w:rPr>
              <w:t>就业率（%）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5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3401" w:type="dxa"/>
            <w:vAlign w:val="center"/>
          </w:tcPr>
          <w:p>
            <w:pPr>
              <w:pStyle w:val="13"/>
              <w:jc w:val="both"/>
            </w:pPr>
            <w:r>
              <w:rPr>
                <w:rFonts w:hint="eastAsia"/>
              </w:rPr>
              <w:t>农林牧渔大类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40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40</w:t>
            </w:r>
          </w:p>
        </w:tc>
        <w:tc>
          <w:tcPr>
            <w:tcW w:w="1513" w:type="dxa"/>
            <w:vAlign w:val="center"/>
          </w:tcPr>
          <w:p>
            <w:pPr>
              <w:pStyle w:val="13"/>
            </w:pPr>
            <w: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5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3401" w:type="dxa"/>
            <w:vAlign w:val="center"/>
          </w:tcPr>
          <w:p>
            <w:pPr>
              <w:pStyle w:val="13"/>
              <w:jc w:val="both"/>
            </w:pPr>
            <w:r>
              <w:rPr>
                <w:rFonts w:hint="eastAsia"/>
              </w:rPr>
              <w:t>轻纺食品大类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104</w:t>
            </w:r>
          </w:p>
        </w:tc>
        <w:tc>
          <w:tcPr>
            <w:tcW w:w="1513" w:type="dxa"/>
            <w:vAlign w:val="center"/>
          </w:tcPr>
          <w:p>
            <w:pPr>
              <w:pStyle w:val="13"/>
            </w:pPr>
            <w:r>
              <w:t>98.11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5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3401" w:type="dxa"/>
            <w:vAlign w:val="center"/>
          </w:tcPr>
          <w:p>
            <w:pPr>
              <w:pStyle w:val="13"/>
              <w:jc w:val="both"/>
            </w:pPr>
            <w:r>
              <w:rPr>
                <w:rFonts w:hint="eastAsia"/>
              </w:rPr>
              <w:t>交通运输大类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192</w:t>
            </w:r>
          </w:p>
        </w:tc>
        <w:tc>
          <w:tcPr>
            <w:tcW w:w="1513" w:type="dxa"/>
            <w:vAlign w:val="center"/>
          </w:tcPr>
          <w:p>
            <w:pPr>
              <w:pStyle w:val="13"/>
            </w:pPr>
            <w:r>
              <w:t>96.00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5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3401" w:type="dxa"/>
            <w:vAlign w:val="center"/>
          </w:tcPr>
          <w:p>
            <w:pPr>
              <w:pStyle w:val="13"/>
              <w:jc w:val="both"/>
            </w:pPr>
            <w:r>
              <w:rPr>
                <w:rFonts w:hint="eastAsia"/>
              </w:rPr>
              <w:t>财经大类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365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347</w:t>
            </w:r>
          </w:p>
        </w:tc>
        <w:tc>
          <w:tcPr>
            <w:tcW w:w="1513" w:type="dxa"/>
            <w:vAlign w:val="center"/>
          </w:tcPr>
          <w:p>
            <w:pPr>
              <w:pStyle w:val="13"/>
            </w:pPr>
            <w:r>
              <w:t>95.07</w:t>
            </w:r>
          </w:p>
        </w:tc>
      </w:tr>
    </w:tbl>
    <w:p>
      <w:pPr>
        <w:ind w:left="420" w:firstLine="0" w:firstLineChars="0"/>
      </w:pPr>
    </w:p>
    <w:p>
      <w:pPr>
        <w:adjustRightInd w:val="0"/>
        <w:snapToGrid w:val="0"/>
        <w:spacing w:line="560" w:lineRule="exact"/>
        <w:ind w:firstLine="640"/>
        <w:outlineLvl w:val="2"/>
        <w:rPr>
          <w:rFonts w:hint="eastAsia" w:ascii="楷体_GB2312" w:hAnsi="微软雅黑" w:eastAsia="楷体_GB2312"/>
          <w:sz w:val="32"/>
          <w:szCs w:val="32"/>
        </w:rPr>
      </w:pPr>
      <w:r>
        <w:rPr>
          <w:rFonts w:hint="eastAsia" w:ascii="楷体_GB2312" w:hAnsi="微软雅黑" w:eastAsia="楷体_GB2312"/>
          <w:sz w:val="32"/>
          <w:szCs w:val="32"/>
        </w:rPr>
        <w:t>2、按专业统计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2017届毕业生分布于6个专业，截至报告期，所有专业就业率达95%以上，其中水产养殖技术专业就业率达100%。各专业就业率如下表所示：</w:t>
      </w:r>
    </w:p>
    <w:p>
      <w:pPr>
        <w:pStyle w:val="4"/>
        <w:spacing w:before="156" w:after="156"/>
        <w:ind w:left="0" w:leftChars="0"/>
        <w:rPr>
          <w:rFonts w:ascii="宋体" w:hAnsi="宋体"/>
          <w:sz w:val="21"/>
          <w:szCs w:val="21"/>
        </w:rPr>
      </w:pPr>
      <w:bookmarkStart w:id="27" w:name="_Toc502996534"/>
      <w:r>
        <w:rPr>
          <w:rFonts w:hint="eastAsia" w:ascii="宋体" w:hAnsi="宋体"/>
          <w:sz w:val="21"/>
          <w:szCs w:val="21"/>
        </w:rPr>
        <w:t>表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instrText xml:space="preserve">SEQ 表 \* ARABIC</w:instrText>
      </w:r>
      <w:r>
        <w:rPr>
          <w:rFonts w:ascii="宋体" w:hAnsi="宋体"/>
          <w:sz w:val="21"/>
          <w:szCs w:val="21"/>
        </w:rPr>
        <w:instrText xml:space="preserve">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7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.毕业生就业率</w:t>
      </w:r>
      <w:r>
        <w:rPr>
          <w:rFonts w:ascii="宋体" w:hAnsi="宋体"/>
          <w:sz w:val="21"/>
          <w:szCs w:val="21"/>
        </w:rPr>
        <w:t>分</w:t>
      </w:r>
      <w:r>
        <w:rPr>
          <w:rFonts w:hint="eastAsia" w:ascii="宋体" w:hAnsi="宋体"/>
          <w:sz w:val="21"/>
          <w:szCs w:val="21"/>
        </w:rPr>
        <w:t>专业统计表</w:t>
      </w:r>
      <w:bookmarkEnd w:id="27"/>
    </w:p>
    <w:tbl>
      <w:tblPr>
        <w:tblStyle w:val="11"/>
        <w:tblW w:w="7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401"/>
        <w:gridCol w:w="1134"/>
        <w:gridCol w:w="1134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705" w:type="dxa"/>
            <w:vAlign w:val="center"/>
          </w:tcPr>
          <w:p>
            <w:pPr>
              <w:pStyle w:val="13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01" w:type="dxa"/>
            <w:vAlign w:val="center"/>
          </w:tcPr>
          <w:p>
            <w:pPr>
              <w:pStyle w:val="13"/>
              <w:rPr>
                <w:b/>
              </w:rPr>
            </w:pPr>
            <w:r>
              <w:rPr>
                <w:rFonts w:hint="eastAsia"/>
                <w:b/>
              </w:rPr>
              <w:t>专业名称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b/>
              </w:rPr>
            </w:pPr>
            <w:r>
              <w:rPr>
                <w:rFonts w:hint="eastAsia"/>
                <w:b/>
              </w:rPr>
              <w:t>生源</w:t>
            </w:r>
            <w:r>
              <w:rPr>
                <w:b/>
              </w:rPr>
              <w:t>人数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b/>
              </w:rPr>
            </w:pPr>
            <w:r>
              <w:rPr>
                <w:rFonts w:hint="eastAsia"/>
                <w:b/>
              </w:rPr>
              <w:t>就业</w:t>
            </w:r>
            <w:r>
              <w:rPr>
                <w:b/>
              </w:rPr>
              <w:t>人数</w:t>
            </w:r>
          </w:p>
        </w:tc>
        <w:tc>
          <w:tcPr>
            <w:tcW w:w="1513" w:type="dxa"/>
            <w:vAlign w:val="center"/>
          </w:tcPr>
          <w:p>
            <w:pPr>
              <w:pStyle w:val="13"/>
              <w:rPr>
                <w:b/>
              </w:rPr>
            </w:pPr>
            <w:r>
              <w:rPr>
                <w:rFonts w:hint="eastAsia"/>
                <w:b/>
              </w:rPr>
              <w:t>就业率（%）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5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3401" w:type="dxa"/>
            <w:vAlign w:val="center"/>
          </w:tcPr>
          <w:p>
            <w:pPr>
              <w:pStyle w:val="13"/>
              <w:jc w:val="both"/>
            </w:pPr>
            <w:r>
              <w:rPr>
                <w:rFonts w:hint="eastAsia"/>
              </w:rPr>
              <w:t>水产养殖技术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40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40</w:t>
            </w:r>
          </w:p>
        </w:tc>
        <w:tc>
          <w:tcPr>
            <w:tcW w:w="1513" w:type="dxa"/>
            <w:vAlign w:val="center"/>
          </w:tcPr>
          <w:p>
            <w:pPr>
              <w:pStyle w:val="13"/>
            </w:pPr>
            <w: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5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3401" w:type="dxa"/>
            <w:vAlign w:val="center"/>
          </w:tcPr>
          <w:p>
            <w:pPr>
              <w:pStyle w:val="13"/>
              <w:jc w:val="both"/>
            </w:pPr>
            <w:r>
              <w:rPr>
                <w:rFonts w:hint="eastAsia"/>
              </w:rPr>
              <w:t>食品营养与检测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104</w:t>
            </w:r>
          </w:p>
        </w:tc>
        <w:tc>
          <w:tcPr>
            <w:tcW w:w="1513" w:type="dxa"/>
            <w:vAlign w:val="center"/>
          </w:tcPr>
          <w:p>
            <w:pPr>
              <w:pStyle w:val="13"/>
            </w:pPr>
            <w:r>
              <w:t>98.11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5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3401" w:type="dxa"/>
            <w:vAlign w:val="center"/>
          </w:tcPr>
          <w:p>
            <w:pPr>
              <w:pStyle w:val="13"/>
              <w:jc w:val="both"/>
            </w:pPr>
            <w:r>
              <w:rPr>
                <w:rFonts w:hint="eastAsia"/>
              </w:rPr>
              <w:t>船舶电子电气技术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65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63</w:t>
            </w:r>
          </w:p>
        </w:tc>
        <w:tc>
          <w:tcPr>
            <w:tcW w:w="1513" w:type="dxa"/>
            <w:vAlign w:val="center"/>
          </w:tcPr>
          <w:p>
            <w:pPr>
              <w:pStyle w:val="13"/>
            </w:pPr>
            <w:r>
              <w:t>96.92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5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3401" w:type="dxa"/>
            <w:vAlign w:val="center"/>
          </w:tcPr>
          <w:p>
            <w:pPr>
              <w:pStyle w:val="13"/>
              <w:jc w:val="both"/>
            </w:pPr>
            <w:r>
              <w:rPr>
                <w:rFonts w:hint="eastAsia"/>
              </w:rPr>
              <w:t>船舶工程技术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135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129</w:t>
            </w:r>
          </w:p>
        </w:tc>
        <w:tc>
          <w:tcPr>
            <w:tcW w:w="1513" w:type="dxa"/>
            <w:vAlign w:val="center"/>
          </w:tcPr>
          <w:p>
            <w:pPr>
              <w:pStyle w:val="13"/>
            </w:pPr>
            <w:r>
              <w:t>95.56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5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3401" w:type="dxa"/>
            <w:vAlign w:val="center"/>
          </w:tcPr>
          <w:p>
            <w:pPr>
              <w:pStyle w:val="13"/>
              <w:jc w:val="both"/>
            </w:pPr>
            <w:r>
              <w:rPr>
                <w:rFonts w:hint="eastAsia"/>
              </w:rPr>
              <w:t>电子商务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144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137</w:t>
            </w:r>
          </w:p>
        </w:tc>
        <w:tc>
          <w:tcPr>
            <w:tcW w:w="1513" w:type="dxa"/>
            <w:vAlign w:val="center"/>
          </w:tcPr>
          <w:p>
            <w:pPr>
              <w:pStyle w:val="13"/>
            </w:pPr>
            <w:r>
              <w:t>95.14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5" w:type="dxa"/>
            <w:vAlign w:val="center"/>
          </w:tcPr>
          <w:p>
            <w:pPr>
              <w:pStyle w:val="13"/>
            </w:pPr>
            <w:r>
              <w:t>6</w:t>
            </w:r>
          </w:p>
        </w:tc>
        <w:tc>
          <w:tcPr>
            <w:tcW w:w="3401" w:type="dxa"/>
            <w:vAlign w:val="center"/>
          </w:tcPr>
          <w:p>
            <w:pPr>
              <w:pStyle w:val="13"/>
              <w:jc w:val="both"/>
            </w:pPr>
            <w:r>
              <w:rPr>
                <w:rFonts w:hint="eastAsia"/>
              </w:rPr>
              <w:t>会计电算化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221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</w:t>
            </w:r>
          </w:p>
        </w:tc>
        <w:tc>
          <w:tcPr>
            <w:tcW w:w="1513" w:type="dxa"/>
            <w:vAlign w:val="center"/>
          </w:tcPr>
          <w:p>
            <w:pPr>
              <w:pStyle w:val="13"/>
            </w:pPr>
            <w:r>
              <w:t>95.02</w:t>
            </w:r>
          </w:p>
        </w:tc>
      </w:tr>
    </w:tbl>
    <w:p>
      <w:pPr>
        <w:spacing w:line="560" w:lineRule="exact"/>
        <w:ind w:left="420" w:firstLine="0" w:firstLineChars="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/>
        <w:outlineLvl w:val="2"/>
        <w:rPr>
          <w:rFonts w:hint="eastAsia" w:ascii="楷体_GB2312" w:hAnsi="微软雅黑" w:eastAsia="楷体_GB2312"/>
          <w:sz w:val="32"/>
          <w:szCs w:val="32"/>
        </w:rPr>
      </w:pPr>
      <w:r>
        <w:rPr>
          <w:rFonts w:hint="eastAsia" w:ascii="楷体_GB2312" w:hAnsi="微软雅黑" w:eastAsia="楷体_GB2312"/>
          <w:sz w:val="32"/>
          <w:szCs w:val="32"/>
        </w:rPr>
        <w:t>3、按系统计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2017届毕业生分布于6个系，截至2017年12月31日，所有系的就业率达95%以上，其中海洋水产系的就业率达100%。各系就业率如下表所示：</w:t>
      </w:r>
    </w:p>
    <w:p>
      <w:pPr>
        <w:pStyle w:val="4"/>
        <w:spacing w:before="156" w:after="156"/>
        <w:ind w:left="0" w:leftChars="0"/>
        <w:rPr>
          <w:rFonts w:ascii="宋体" w:hAnsi="宋体"/>
          <w:sz w:val="21"/>
          <w:szCs w:val="21"/>
        </w:rPr>
      </w:pPr>
      <w:bookmarkStart w:id="28" w:name="_Toc502996535"/>
      <w:r>
        <w:rPr>
          <w:rFonts w:hint="eastAsia" w:ascii="宋体" w:hAnsi="宋体"/>
          <w:sz w:val="21"/>
          <w:szCs w:val="21"/>
        </w:rPr>
        <w:t>表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instrText xml:space="preserve">SEQ 表 \* ARABIC</w:instrText>
      </w:r>
      <w:r>
        <w:rPr>
          <w:rFonts w:ascii="宋体" w:hAnsi="宋体"/>
          <w:sz w:val="21"/>
          <w:szCs w:val="21"/>
        </w:rPr>
        <w:instrText xml:space="preserve">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8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.毕业生就业率</w:t>
      </w:r>
      <w:r>
        <w:rPr>
          <w:rFonts w:ascii="宋体" w:hAnsi="宋体"/>
          <w:sz w:val="21"/>
          <w:szCs w:val="21"/>
        </w:rPr>
        <w:t>分</w:t>
      </w:r>
      <w:r>
        <w:rPr>
          <w:rFonts w:hint="eastAsia" w:ascii="宋体" w:hAnsi="宋体"/>
          <w:sz w:val="21"/>
          <w:szCs w:val="21"/>
        </w:rPr>
        <w:t>系统计表</w:t>
      </w:r>
      <w:bookmarkEnd w:id="28"/>
    </w:p>
    <w:tbl>
      <w:tblPr>
        <w:tblStyle w:val="10"/>
        <w:tblW w:w="83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266"/>
        <w:gridCol w:w="1370"/>
        <w:gridCol w:w="137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系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生源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就业人数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就业率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海洋水产系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食品工程系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98.11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电气工程系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96.92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船舶工程系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95.56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95.14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经济管理系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95.02</w:t>
            </w:r>
          </w:p>
        </w:tc>
      </w:tr>
    </w:tbl>
    <w:p>
      <w:pPr>
        <w:ind w:left="420" w:firstLine="0" w:firstLineChars="0"/>
      </w:pPr>
    </w:p>
    <w:p>
      <w:pPr>
        <w:adjustRightInd w:val="0"/>
        <w:snapToGrid w:val="0"/>
        <w:spacing w:line="560" w:lineRule="exact"/>
        <w:ind w:firstLine="640"/>
        <w:outlineLvl w:val="2"/>
        <w:rPr>
          <w:rFonts w:hint="eastAsia" w:ascii="楷体_GB2312" w:hAnsi="微软雅黑" w:eastAsia="楷体_GB2312"/>
          <w:sz w:val="32"/>
          <w:szCs w:val="32"/>
        </w:rPr>
      </w:pPr>
      <w:r>
        <w:rPr>
          <w:rFonts w:hint="eastAsia" w:ascii="楷体_GB2312" w:hAnsi="微软雅黑" w:eastAsia="楷体_GB2312"/>
          <w:sz w:val="32"/>
          <w:szCs w:val="32"/>
        </w:rPr>
        <w:t>4、按性别统计</w:t>
      </w:r>
    </w:p>
    <w:p>
      <w:pPr>
        <w:adjustRightInd w:val="0"/>
        <w:snapToGrid w:val="0"/>
        <w:spacing w:after="156" w:afterLines="50"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截至2017年12月31日，男生实现就业326人，就业率为95.60%；女生实现就业357人，就业率为96.49%。女生就业率高于男生0.89个百分点。</w:t>
      </w:r>
    </w:p>
    <w:p>
      <w:pPr>
        <w:pStyle w:val="4"/>
        <w:adjustRightInd w:val="0"/>
        <w:snapToGrid w:val="0"/>
        <w:spacing w:before="0" w:beforeLines="0" w:after="156"/>
        <w:ind w:left="0" w:leftChars="0"/>
        <w:rPr>
          <w:sz w:val="21"/>
          <w:szCs w:val="21"/>
        </w:rPr>
      </w:pPr>
      <w:bookmarkStart w:id="29" w:name="jyl_axbtj"/>
      <w:bookmarkEnd w:id="29"/>
      <w:r>
        <w:drawing>
          <wp:inline distT="0" distB="0" distL="0" distR="0">
            <wp:extent cx="3052445" cy="1875790"/>
            <wp:effectExtent l="4445" t="4445" r="10160" b="571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4"/>
        <w:adjustRightInd w:val="0"/>
        <w:snapToGrid w:val="0"/>
        <w:spacing w:before="156" w:after="156"/>
        <w:ind w:left="0" w:leftChars="0"/>
        <w:rPr>
          <w:rFonts w:ascii="宋体" w:hAnsi="宋体"/>
          <w:sz w:val="21"/>
          <w:szCs w:val="21"/>
        </w:rPr>
      </w:pPr>
      <w:bookmarkStart w:id="30" w:name="_Toc502996625"/>
      <w:r>
        <w:rPr>
          <w:rFonts w:hint="eastAsia" w:ascii="宋体" w:hAnsi="宋体"/>
          <w:sz w:val="21"/>
          <w:szCs w:val="21"/>
        </w:rPr>
        <w:t>图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instrText xml:space="preserve">SEQ 图 \* ARABIC</w:instrText>
      </w:r>
      <w:r>
        <w:rPr>
          <w:rFonts w:ascii="宋体" w:hAnsi="宋体"/>
          <w:sz w:val="21"/>
          <w:szCs w:val="21"/>
        </w:rPr>
        <w:instrText xml:space="preserve">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3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>.</w:t>
      </w:r>
      <w:r>
        <w:rPr>
          <w:rFonts w:hint="eastAsia" w:ascii="宋体" w:hAnsi="宋体"/>
          <w:sz w:val="21"/>
          <w:szCs w:val="21"/>
        </w:rPr>
        <w:t>不同性别毕业生就业率对比图</w:t>
      </w:r>
      <w:bookmarkEnd w:id="30"/>
      <w:bookmarkStart w:id="31" w:name="_Toc469217904"/>
      <w:bookmarkStart w:id="32" w:name="_Toc502996379"/>
      <w:bookmarkStart w:id="33" w:name="_Toc469227937"/>
    </w:p>
    <w:p>
      <w:pPr>
        <w:pStyle w:val="4"/>
        <w:adjustRightInd w:val="0"/>
        <w:snapToGrid w:val="0"/>
        <w:spacing w:before="312" w:beforeLines="100" w:after="0" w:afterLines="0"/>
        <w:ind w:left="0" w:leftChars="0" w:firstLine="643" w:firstLineChars="200"/>
        <w:jc w:val="left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hAnsi="黑体" w:eastAsia="仿宋_GB2312"/>
          <w:sz w:val="32"/>
          <w:szCs w:val="28"/>
        </w:rPr>
        <w:t>（四）毕业生就业方式</w:t>
      </w:r>
      <w:bookmarkEnd w:id="31"/>
      <w:bookmarkEnd w:id="32"/>
      <w:bookmarkEnd w:id="33"/>
    </w:p>
    <w:p>
      <w:pPr>
        <w:adjustRightInd w:val="0"/>
        <w:snapToGrid w:val="0"/>
        <w:spacing w:line="560" w:lineRule="exact"/>
        <w:ind w:firstLine="64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学校2017届毕业生就业方式呈现多元化趋势。</w:t>
      </w:r>
      <w:r>
        <w:rPr>
          <w:rFonts w:hint="eastAsia" w:ascii="仿宋_GB2312" w:hAnsi="宋体" w:eastAsia="仿宋_GB2312"/>
          <w:sz w:val="32"/>
          <w:szCs w:val="32"/>
        </w:rPr>
        <w:t>截至2017年12月31日</w:t>
      </w:r>
      <w:r>
        <w:rPr>
          <w:rFonts w:hint="eastAsia" w:ascii="仿宋_GB2312" w:hAnsi="宋体" w:eastAsia="仿宋_GB2312"/>
          <w:sz w:val="32"/>
        </w:rPr>
        <w:t>，</w:t>
      </w:r>
      <w:r>
        <w:rPr>
          <w:rFonts w:hint="eastAsia"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劳动合同就业率56.68%，协议就业率13.50%，个体经营率4.50%，升学率2.67%，</w:t>
      </w:r>
      <w:r>
        <w:rPr>
          <w:rFonts w:hint="eastAsia" w:ascii="仿宋_GB2312" w:hAnsi="宋体" w:eastAsia="仿宋_GB2312"/>
          <w:sz w:val="32"/>
        </w:rPr>
        <w:t>另外还包括非派遣省外签约、自主创业、应征入伍、出国、基层项目、灵活就业和其他方式就业等多种就业方式。</w:t>
      </w:r>
    </w:p>
    <w:p>
      <w:pPr>
        <w:pStyle w:val="4"/>
        <w:spacing w:before="156" w:after="156"/>
        <w:ind w:left="0" w:leftChars="0"/>
        <w:rPr>
          <w:rFonts w:ascii="宋体" w:hAnsi="宋体"/>
          <w:sz w:val="21"/>
          <w:szCs w:val="21"/>
        </w:rPr>
      </w:pPr>
      <w:bookmarkStart w:id="34" w:name="_Toc502996536"/>
      <w:r>
        <w:rPr>
          <w:rFonts w:hint="eastAsia" w:ascii="宋体" w:hAnsi="宋体"/>
          <w:sz w:val="21"/>
          <w:szCs w:val="21"/>
        </w:rPr>
        <w:t>表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instrText xml:space="preserve">SEQ 表 \* ARABIC</w:instrText>
      </w:r>
      <w:r>
        <w:rPr>
          <w:rFonts w:ascii="宋体" w:hAnsi="宋体"/>
          <w:sz w:val="21"/>
          <w:szCs w:val="21"/>
        </w:rPr>
        <w:instrText xml:space="preserve">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9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.毕业生就业方式统计表</w:t>
      </w:r>
      <w:bookmarkEnd w:id="34"/>
    </w:p>
    <w:tbl>
      <w:tblPr>
        <w:tblStyle w:val="10"/>
        <w:tblW w:w="7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716"/>
        <w:gridCol w:w="1558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7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就业方式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就业人数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就业率</w:t>
            </w:r>
            <w:r>
              <w:rPr>
                <w:rFonts w:hint="eastAsia" w:asciiTheme="minorEastAsia" w:hAnsiTheme="minorEastAsia" w:eastAsiaTheme="minorEastAsia"/>
                <w:b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劳动合同就业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56.68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协议就业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13.50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个体经营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升学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非派遣省外签约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自主创业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7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应征入伍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7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出国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7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基层项目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7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灵活就业和其他方式就业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15.76</w:t>
            </w:r>
          </w:p>
        </w:tc>
      </w:tr>
    </w:tbl>
    <w:p>
      <w:pPr>
        <w:ind w:left="420" w:firstLine="0" w:firstLineChars="0"/>
      </w:pPr>
    </w:p>
    <w:p>
      <w:pPr>
        <w:pStyle w:val="4"/>
        <w:adjustRightInd w:val="0"/>
        <w:snapToGrid w:val="0"/>
        <w:spacing w:before="312" w:beforeLines="100" w:after="0" w:afterLines="0"/>
        <w:ind w:left="0" w:leftChars="0" w:firstLine="643" w:firstLineChars="200"/>
        <w:jc w:val="left"/>
        <w:rPr>
          <w:rFonts w:hint="eastAsia" w:ascii="仿宋_GB2312" w:hAnsi="黑体" w:eastAsia="仿宋_GB2312"/>
          <w:sz w:val="32"/>
          <w:szCs w:val="28"/>
        </w:rPr>
      </w:pPr>
      <w:bookmarkStart w:id="35" w:name="_Toc502996380"/>
      <w:bookmarkStart w:id="36" w:name="_Toc469227938"/>
      <w:bookmarkStart w:id="37" w:name="_Toc469217905"/>
      <w:bookmarkStart w:id="38" w:name="_Toc502996384"/>
      <w:r>
        <w:rPr>
          <w:rFonts w:hint="eastAsia" w:ascii="仿宋_GB2312" w:hAnsi="黑体" w:eastAsia="仿宋_GB2312"/>
          <w:sz w:val="32"/>
          <w:szCs w:val="28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28"/>
          <w:lang w:val="en-US" w:eastAsia="zh-CN"/>
        </w:rPr>
        <w:t>五）</w:t>
      </w:r>
      <w:r>
        <w:rPr>
          <w:rFonts w:hint="eastAsia" w:ascii="仿宋_GB2312" w:hAnsi="黑体" w:eastAsia="仿宋_GB2312"/>
          <w:sz w:val="32"/>
          <w:szCs w:val="28"/>
        </w:rPr>
        <w:t>毕业生就业流向</w:t>
      </w:r>
      <w:bookmarkEnd w:id="35"/>
      <w:bookmarkEnd w:id="36"/>
      <w:bookmarkEnd w:id="37"/>
    </w:p>
    <w:p>
      <w:pPr>
        <w:pStyle w:val="12"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outlineLvl w:val="2"/>
        <w:rPr>
          <w:rFonts w:hint="eastAsia" w:ascii="仿宋_GB2312" w:hAnsi="宋体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lang w:val="en-US" w:eastAsia="zh-CN" w:bidi="ar-SA"/>
        </w:rPr>
        <w:t>就业地域流向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_GB2312" w:hAnsi="宋体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lang w:val="en-US" w:eastAsia="zh-CN" w:bidi="ar-SA"/>
        </w:rPr>
        <w:t>截至报告期，2017届毕业生就业地域以山东省内为主，省内就业毕业生占已就业毕业生总数的80%以上，尤其学校驻地威海，接收毕业生人数占已就业毕业生总数的16.35%，其次，到青岛市就业的毕业生也相对较多，所占比例为10.74%；到省外就业的毕业生人数占已就业毕业生总数的9.13%，主要流向江苏省、北京市、上海市等地。毕业生就业地域流向如下图所示：</w:t>
      </w:r>
    </w:p>
    <w:p>
      <w:pPr>
        <w:pStyle w:val="4"/>
        <w:adjustRightInd w:val="0"/>
        <w:snapToGrid w:val="0"/>
        <w:spacing w:before="0" w:beforeLines="0" w:after="120"/>
        <w:ind w:left="0" w:leftChars="0"/>
        <w:rPr>
          <w:sz w:val="21"/>
          <w:szCs w:val="21"/>
        </w:rPr>
      </w:pPr>
      <w:bookmarkStart w:id="39" w:name="jylx_jydqlx"/>
      <w:bookmarkEnd w:id="39"/>
      <w:r>
        <w:drawing>
          <wp:inline distT="0" distB="0" distL="0" distR="0">
            <wp:extent cx="5029200" cy="2247900"/>
            <wp:effectExtent l="0" t="0" r="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4"/>
        <w:spacing w:before="120" w:after="120"/>
        <w:ind w:left="420"/>
        <w:rPr>
          <w:rFonts w:ascii="宋体" w:hAnsi="宋体"/>
          <w:sz w:val="21"/>
          <w:szCs w:val="21"/>
        </w:rPr>
      </w:pPr>
      <w:bookmarkStart w:id="40" w:name="_Toc502996626"/>
      <w:r>
        <w:rPr>
          <w:rFonts w:hint="eastAsia" w:ascii="宋体" w:hAnsi="宋体"/>
          <w:sz w:val="21"/>
          <w:szCs w:val="21"/>
        </w:rPr>
        <w:t>图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instrText xml:space="preserve">SEQ 图 \* ARABIC</w:instrText>
      </w:r>
      <w:r>
        <w:rPr>
          <w:rFonts w:ascii="宋体" w:hAnsi="宋体"/>
          <w:sz w:val="21"/>
          <w:szCs w:val="21"/>
        </w:rPr>
        <w:instrText xml:space="preserve">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4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>.</w:t>
      </w:r>
      <w:r>
        <w:rPr>
          <w:rFonts w:hint="eastAsia" w:ascii="宋体" w:hAnsi="宋体"/>
          <w:sz w:val="21"/>
          <w:szCs w:val="21"/>
        </w:rPr>
        <w:t>毕业生就业</w:t>
      </w:r>
      <w:r>
        <w:rPr>
          <w:rFonts w:ascii="宋体" w:hAnsi="宋体"/>
          <w:sz w:val="21"/>
          <w:szCs w:val="21"/>
        </w:rPr>
        <w:t>地区流向</w:t>
      </w:r>
      <w:r>
        <w:rPr>
          <w:rFonts w:hint="eastAsia" w:ascii="宋体" w:hAnsi="宋体"/>
          <w:sz w:val="21"/>
          <w:szCs w:val="21"/>
        </w:rPr>
        <w:t>图</w:t>
      </w:r>
      <w:bookmarkEnd w:id="40"/>
    </w:p>
    <w:p>
      <w:pPr>
        <w:pStyle w:val="12"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outlineLvl w:val="2"/>
        <w:rPr>
          <w:rFonts w:hint="eastAsia" w:ascii="仿宋_GB2312" w:hAnsi="宋体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lang w:val="en-US" w:eastAsia="zh-CN" w:bidi="ar-SA"/>
        </w:rPr>
        <w:t>就业单位性质流向</w:t>
      </w:r>
    </w:p>
    <w:p>
      <w:pPr>
        <w:pStyle w:val="12"/>
        <w:numPr>
          <w:ilvl w:val="0"/>
          <w:numId w:val="0"/>
        </w:numPr>
        <w:adjustRightInd w:val="0"/>
        <w:snapToGrid w:val="0"/>
        <w:spacing w:line="360" w:lineRule="auto"/>
        <w:ind w:leftChars="200" w:firstLine="640" w:firstLineChars="200"/>
        <w:outlineLvl w:val="2"/>
        <w:rPr>
          <w:rFonts w:hint="eastAsia" w:ascii="仿宋_GB2312" w:hAnsi="宋体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lang w:val="en-US" w:eastAsia="zh-CN" w:bidi="ar-SA"/>
        </w:rPr>
        <w:t>截至报告期，本校已就业毕业生的单位性质流向分布结果显示，企业是接收本校毕业生就业的大户，占已就业毕业生总数的82.06%（其中，国有企业占3.69%，非国有企业占78.37%）；另外，党政机关占0.16%，事业单位占1.60%，其他性质单位占16.18%。</w:t>
      </w:r>
    </w:p>
    <w:p>
      <w:pPr>
        <w:pStyle w:val="4"/>
        <w:adjustRightInd w:val="0"/>
        <w:snapToGrid w:val="0"/>
        <w:spacing w:before="0" w:beforeLines="0" w:after="120"/>
        <w:ind w:left="0" w:leftChars="0"/>
        <w:rPr>
          <w:sz w:val="21"/>
          <w:szCs w:val="21"/>
        </w:rPr>
      </w:pPr>
      <w:bookmarkStart w:id="41" w:name="jylx_dwxzlx"/>
      <w:bookmarkEnd w:id="41"/>
      <w:r>
        <w:drawing>
          <wp:inline distT="0" distB="0" distL="0" distR="0">
            <wp:extent cx="2872740" cy="2076450"/>
            <wp:effectExtent l="0" t="0" r="3810" b="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pStyle w:val="4"/>
        <w:adjustRightInd w:val="0"/>
        <w:snapToGrid w:val="0"/>
        <w:spacing w:before="120" w:after="120"/>
        <w:ind w:left="0" w:leftChars="0"/>
        <w:rPr>
          <w:rFonts w:ascii="宋体" w:hAnsi="宋体"/>
          <w:sz w:val="21"/>
          <w:szCs w:val="21"/>
        </w:rPr>
      </w:pPr>
      <w:bookmarkStart w:id="42" w:name="_Toc502996627"/>
      <w:r>
        <w:rPr>
          <w:rFonts w:hint="eastAsia" w:ascii="宋体" w:hAnsi="宋体"/>
          <w:sz w:val="21"/>
          <w:szCs w:val="21"/>
        </w:rPr>
        <w:t>图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instrText xml:space="preserve">SEQ 图 \* ARABIC</w:instrText>
      </w:r>
      <w:r>
        <w:rPr>
          <w:rFonts w:ascii="宋体" w:hAnsi="宋体"/>
          <w:sz w:val="21"/>
          <w:szCs w:val="21"/>
        </w:rPr>
        <w:instrText xml:space="preserve">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5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>.</w:t>
      </w:r>
      <w:r>
        <w:rPr>
          <w:rFonts w:hint="eastAsia" w:ascii="宋体" w:hAnsi="宋体"/>
          <w:sz w:val="21"/>
          <w:szCs w:val="21"/>
        </w:rPr>
        <w:t>毕业生就业单位性质</w:t>
      </w:r>
      <w:r>
        <w:rPr>
          <w:rFonts w:ascii="宋体" w:hAnsi="宋体"/>
          <w:sz w:val="21"/>
          <w:szCs w:val="21"/>
        </w:rPr>
        <w:t>流向</w:t>
      </w:r>
      <w:r>
        <w:rPr>
          <w:rFonts w:hint="eastAsia" w:ascii="宋体" w:hAnsi="宋体"/>
          <w:sz w:val="21"/>
          <w:szCs w:val="21"/>
        </w:rPr>
        <w:t>图</w:t>
      </w:r>
      <w:bookmarkEnd w:id="42"/>
    </w:p>
    <w:p>
      <w:pPr>
        <w:pStyle w:val="12"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outlineLvl w:val="2"/>
        <w:rPr>
          <w:rFonts w:hint="eastAsia" w:ascii="仿宋_GB2312" w:hAnsi="宋体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lang w:val="en-US" w:eastAsia="zh-CN" w:bidi="ar-SA"/>
        </w:rPr>
        <w:t>就业行业流向</w:t>
      </w:r>
    </w:p>
    <w:p>
      <w:pPr>
        <w:pStyle w:val="12"/>
        <w:numPr>
          <w:ilvl w:val="0"/>
          <w:numId w:val="0"/>
        </w:numPr>
        <w:adjustRightInd w:val="0"/>
        <w:snapToGrid w:val="0"/>
        <w:spacing w:line="360" w:lineRule="auto"/>
        <w:ind w:leftChars="200" w:firstLine="640" w:firstLineChars="200"/>
        <w:outlineLvl w:val="2"/>
        <w:rPr>
          <w:rFonts w:hint="eastAsia" w:ascii="仿宋_GB2312" w:hAnsi="宋体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lang w:val="en-US" w:eastAsia="zh-CN" w:bidi="ar-SA"/>
        </w:rPr>
        <w:t>截至报告期，本校已就业毕业生的行业流向统计数据显示，制造业是毕业生流向最多的行业，占已就业毕业生总数的16.51%；其次是批发和零售业，所占比例为11.54%；另外，租赁和商务服务业，卫生、社会保障和社会福利业，居民服务和其他服务业以及信息传输、计算机服务和软件业所占比例都在6%以上。各行业接收毕业生情况如下图所示：</w:t>
      </w:r>
    </w:p>
    <w:p>
      <w:pPr>
        <w:pStyle w:val="4"/>
        <w:adjustRightInd w:val="0"/>
        <w:snapToGrid w:val="0"/>
        <w:spacing w:before="0" w:beforeLines="0" w:after="120"/>
        <w:ind w:left="0" w:leftChars="0"/>
        <w:rPr>
          <w:sz w:val="21"/>
          <w:szCs w:val="21"/>
        </w:rPr>
      </w:pPr>
      <w:bookmarkStart w:id="43" w:name="jylx_hylx"/>
      <w:bookmarkEnd w:id="43"/>
      <w:r>
        <w:drawing>
          <wp:inline distT="0" distB="0" distL="0" distR="0">
            <wp:extent cx="3781425" cy="3790950"/>
            <wp:effectExtent l="0" t="0" r="9525" b="0"/>
            <wp:docPr id="40" name="图表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pStyle w:val="4"/>
        <w:adjustRightInd w:val="0"/>
        <w:snapToGrid w:val="0"/>
        <w:spacing w:before="120" w:after="120"/>
        <w:ind w:left="0" w:leftChars="0"/>
        <w:rPr>
          <w:rFonts w:ascii="宋体" w:hAnsi="宋体"/>
          <w:sz w:val="21"/>
          <w:szCs w:val="21"/>
        </w:rPr>
      </w:pPr>
      <w:bookmarkStart w:id="44" w:name="_Toc502996628"/>
      <w:r>
        <w:rPr>
          <w:rFonts w:hint="eastAsia" w:ascii="宋体" w:hAnsi="宋体"/>
          <w:sz w:val="21"/>
          <w:szCs w:val="21"/>
        </w:rPr>
        <w:t>图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instrText xml:space="preserve">SEQ 图 \* ARABIC</w:instrText>
      </w:r>
      <w:r>
        <w:rPr>
          <w:rFonts w:ascii="宋体" w:hAnsi="宋体"/>
          <w:sz w:val="21"/>
          <w:szCs w:val="21"/>
        </w:rPr>
        <w:instrText xml:space="preserve">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6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>.</w:t>
      </w:r>
      <w:r>
        <w:rPr>
          <w:rFonts w:hint="eastAsia" w:ascii="宋体" w:hAnsi="宋体"/>
          <w:sz w:val="21"/>
          <w:szCs w:val="21"/>
        </w:rPr>
        <w:t>毕业生就业行业</w:t>
      </w:r>
      <w:r>
        <w:rPr>
          <w:rFonts w:ascii="宋体" w:hAnsi="宋体"/>
          <w:sz w:val="21"/>
          <w:szCs w:val="21"/>
        </w:rPr>
        <w:t>流向</w:t>
      </w:r>
      <w:r>
        <w:rPr>
          <w:rFonts w:hint="eastAsia" w:ascii="宋体" w:hAnsi="宋体"/>
          <w:sz w:val="21"/>
          <w:szCs w:val="21"/>
        </w:rPr>
        <w:t>图</w:t>
      </w:r>
      <w:bookmarkEnd w:id="44"/>
    </w:p>
    <w:p>
      <w:pPr>
        <w:pStyle w:val="2"/>
        <w:adjustRightInd w:val="0"/>
        <w:snapToGrid w:val="0"/>
        <w:spacing w:after="0" w:afterLines="0" w:line="360" w:lineRule="auto"/>
        <w:ind w:left="420" w:leftChars="20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（注：其他，包括机关事业单位及部分行业划分不明确的单位）</w:t>
      </w:r>
    </w:p>
    <w:bookmarkEnd w:id="38"/>
    <w:p>
      <w:pPr>
        <w:keepNext/>
        <w:keepLines/>
        <w:numPr>
          <w:ilvl w:val="0"/>
          <w:numId w:val="2"/>
        </w:numPr>
        <w:spacing w:before="156" w:beforeLines="50" w:after="156" w:afterLines="50" w:line="560" w:lineRule="exact"/>
        <w:ind w:firstLineChars="0"/>
        <w:jc w:val="left"/>
        <w:outlineLvl w:val="1"/>
        <w:rPr>
          <w:rFonts w:ascii="仿宋_GB2312" w:eastAsia="仿宋_GB2312"/>
          <w:vanish/>
          <w:sz w:val="32"/>
          <w:szCs w:val="32"/>
        </w:rPr>
      </w:pPr>
      <w:bookmarkStart w:id="45" w:name="_Toc440894948"/>
      <w:bookmarkEnd w:id="45"/>
      <w:bookmarkStart w:id="46" w:name="_Toc440897692"/>
      <w:bookmarkEnd w:id="46"/>
      <w:bookmarkStart w:id="47" w:name="_Toc440895233"/>
      <w:bookmarkEnd w:id="47"/>
      <w:bookmarkStart w:id="48" w:name="_Toc440831532"/>
      <w:bookmarkEnd w:id="48"/>
      <w:bookmarkStart w:id="49" w:name="_Toc440896081"/>
      <w:bookmarkEnd w:id="49"/>
      <w:bookmarkStart w:id="50" w:name="_Toc440897426"/>
      <w:bookmarkEnd w:id="50"/>
      <w:bookmarkStart w:id="51" w:name="_Toc439878404"/>
      <w:bookmarkEnd w:id="51"/>
      <w:bookmarkStart w:id="52" w:name="_Toc440897857"/>
      <w:bookmarkEnd w:id="52"/>
      <w:bookmarkStart w:id="53" w:name="_Toc439878440"/>
      <w:bookmarkEnd w:id="53"/>
      <w:bookmarkStart w:id="54" w:name="_Toc440896828"/>
      <w:bookmarkEnd w:id="54"/>
      <w:bookmarkStart w:id="55" w:name="_Toc440896942"/>
      <w:bookmarkEnd w:id="55"/>
      <w:bookmarkStart w:id="56" w:name="_Toc408404393"/>
      <w:bookmarkEnd w:id="56"/>
      <w:bookmarkStart w:id="57" w:name="_Toc440897193"/>
      <w:bookmarkEnd w:id="57"/>
      <w:bookmarkStart w:id="58" w:name="_Toc440831388"/>
      <w:bookmarkEnd w:id="58"/>
      <w:bookmarkStart w:id="59" w:name="_Toc440897284"/>
      <w:bookmarkEnd w:id="59"/>
      <w:bookmarkStart w:id="60" w:name="_Toc440897761"/>
      <w:bookmarkEnd w:id="60"/>
      <w:bookmarkStart w:id="61" w:name="_Toc440895897"/>
      <w:bookmarkEnd w:id="61"/>
      <w:bookmarkStart w:id="62" w:name="_Toc441136456"/>
      <w:bookmarkEnd w:id="62"/>
      <w:bookmarkStart w:id="63" w:name="_Toc440895122"/>
      <w:bookmarkEnd w:id="63"/>
      <w:bookmarkStart w:id="64" w:name="_Toc441136527"/>
      <w:bookmarkEnd w:id="64"/>
      <w:bookmarkStart w:id="65" w:name="_Toc441136166"/>
      <w:bookmarkEnd w:id="65"/>
      <w:bookmarkStart w:id="66" w:name="_Toc502996391"/>
      <w:bookmarkEnd w:id="66"/>
      <w:bookmarkStart w:id="67" w:name="_Toc441138112"/>
      <w:bookmarkEnd w:id="67"/>
      <w:bookmarkStart w:id="68" w:name="_Toc441136125"/>
      <w:bookmarkEnd w:id="68"/>
      <w:bookmarkStart w:id="69" w:name="_Toc441136615"/>
      <w:bookmarkEnd w:id="69"/>
      <w:bookmarkStart w:id="70" w:name="_Toc440897907"/>
      <w:bookmarkEnd w:id="70"/>
      <w:bookmarkStart w:id="71" w:name="_Toc440900695"/>
      <w:bookmarkEnd w:id="71"/>
      <w:bookmarkStart w:id="72" w:name="_Toc502996217"/>
      <w:bookmarkEnd w:id="72"/>
      <w:bookmarkStart w:id="73" w:name="_Toc440376795"/>
      <w:bookmarkEnd w:id="73"/>
      <w:bookmarkStart w:id="74" w:name="_Toc440895981"/>
      <w:bookmarkEnd w:id="74"/>
      <w:bookmarkStart w:id="75" w:name="_Toc502995860"/>
      <w:bookmarkEnd w:id="75"/>
      <w:bookmarkStart w:id="76" w:name="_Toc440896349"/>
      <w:bookmarkEnd w:id="76"/>
      <w:bookmarkStart w:id="77" w:name="_Toc440895038"/>
      <w:bookmarkEnd w:id="77"/>
      <w:bookmarkStart w:id="78" w:name="_Toc440376759"/>
      <w:bookmarkEnd w:id="78"/>
      <w:bookmarkStart w:id="79" w:name="_Toc440897511"/>
      <w:bookmarkEnd w:id="79"/>
      <w:bookmarkStart w:id="80" w:name="_Toc440896613"/>
      <w:bookmarkEnd w:id="80"/>
      <w:bookmarkStart w:id="81" w:name="_Toc440895563"/>
      <w:bookmarkEnd w:id="81"/>
      <w:bookmarkStart w:id="82" w:name="_Toc440896699"/>
      <w:bookmarkEnd w:id="82"/>
      <w:bookmarkStart w:id="83" w:name="_Toc438692061"/>
    </w:p>
    <w:p>
      <w:pPr>
        <w:keepNext/>
        <w:keepLines/>
        <w:numPr>
          <w:ilvl w:val="0"/>
          <w:numId w:val="2"/>
        </w:numPr>
        <w:spacing w:before="156" w:beforeLines="50" w:after="156" w:afterLines="50" w:line="560" w:lineRule="exact"/>
        <w:ind w:firstLineChars="0"/>
        <w:jc w:val="left"/>
        <w:outlineLvl w:val="1"/>
        <w:rPr>
          <w:rFonts w:ascii="仿宋_GB2312" w:eastAsia="仿宋_GB2312"/>
          <w:vanish/>
          <w:sz w:val="32"/>
          <w:szCs w:val="32"/>
        </w:rPr>
      </w:pPr>
      <w:bookmarkStart w:id="84" w:name="_Toc440896700"/>
      <w:bookmarkEnd w:id="84"/>
      <w:bookmarkStart w:id="85" w:name="_Toc440831533"/>
      <w:bookmarkEnd w:id="85"/>
      <w:bookmarkStart w:id="86" w:name="_Toc441136457"/>
      <w:bookmarkEnd w:id="86"/>
      <w:bookmarkStart w:id="87" w:name="_Toc502996392"/>
      <w:bookmarkEnd w:id="87"/>
      <w:bookmarkStart w:id="88" w:name="_Toc440897512"/>
      <w:bookmarkEnd w:id="88"/>
      <w:bookmarkStart w:id="89" w:name="_Toc440896614"/>
      <w:bookmarkEnd w:id="89"/>
      <w:bookmarkStart w:id="90" w:name="_Toc440896829"/>
      <w:bookmarkEnd w:id="90"/>
      <w:bookmarkStart w:id="91" w:name="_Toc440897427"/>
      <w:bookmarkEnd w:id="91"/>
      <w:bookmarkStart w:id="92" w:name="_Toc440897285"/>
      <w:bookmarkEnd w:id="92"/>
      <w:bookmarkStart w:id="93" w:name="_Toc440900696"/>
      <w:bookmarkEnd w:id="93"/>
      <w:bookmarkStart w:id="94" w:name="_Toc440896943"/>
      <w:bookmarkEnd w:id="94"/>
      <w:bookmarkStart w:id="95" w:name="_Toc440895564"/>
      <w:bookmarkEnd w:id="95"/>
      <w:bookmarkStart w:id="96" w:name="_Toc440897762"/>
      <w:bookmarkEnd w:id="96"/>
      <w:bookmarkStart w:id="97" w:name="_Toc440897858"/>
      <w:bookmarkEnd w:id="97"/>
      <w:bookmarkStart w:id="98" w:name="_Toc441136616"/>
      <w:bookmarkEnd w:id="98"/>
      <w:bookmarkStart w:id="99" w:name="_Toc440895123"/>
      <w:bookmarkEnd w:id="99"/>
      <w:bookmarkStart w:id="100" w:name="_Toc439878441"/>
      <w:bookmarkEnd w:id="100"/>
      <w:bookmarkStart w:id="101" w:name="_Toc439878405"/>
      <w:bookmarkEnd w:id="101"/>
      <w:bookmarkStart w:id="102" w:name="_Toc440376760"/>
      <w:bookmarkEnd w:id="102"/>
      <w:bookmarkStart w:id="103" w:name="_Toc440831389"/>
      <w:bookmarkEnd w:id="103"/>
      <w:bookmarkStart w:id="104" w:name="_Toc441138113"/>
      <w:bookmarkEnd w:id="104"/>
      <w:bookmarkStart w:id="105" w:name="_Toc440894949"/>
      <w:bookmarkEnd w:id="105"/>
      <w:bookmarkStart w:id="106" w:name="_Toc441136167"/>
      <w:bookmarkEnd w:id="106"/>
      <w:bookmarkStart w:id="107" w:name="_Toc440896350"/>
      <w:bookmarkEnd w:id="107"/>
      <w:bookmarkStart w:id="108" w:name="_Toc502996218"/>
      <w:bookmarkEnd w:id="108"/>
      <w:bookmarkStart w:id="109" w:name="_Toc440896082"/>
      <w:bookmarkEnd w:id="109"/>
      <w:bookmarkStart w:id="110" w:name="_Toc440897693"/>
      <w:bookmarkEnd w:id="110"/>
      <w:bookmarkStart w:id="111" w:name="_Toc440376796"/>
      <w:bookmarkEnd w:id="111"/>
      <w:bookmarkStart w:id="112" w:name="_Toc441136126"/>
      <w:bookmarkEnd w:id="112"/>
      <w:bookmarkStart w:id="113" w:name="_Toc440895898"/>
      <w:bookmarkEnd w:id="113"/>
      <w:bookmarkStart w:id="114" w:name="_Toc440897194"/>
      <w:bookmarkEnd w:id="114"/>
      <w:bookmarkStart w:id="115" w:name="_Toc440897908"/>
      <w:bookmarkEnd w:id="115"/>
      <w:bookmarkStart w:id="116" w:name="_Toc441136528"/>
      <w:bookmarkEnd w:id="116"/>
      <w:bookmarkStart w:id="117" w:name="_Toc440895039"/>
      <w:bookmarkEnd w:id="117"/>
      <w:bookmarkStart w:id="118" w:name="_Toc440895234"/>
      <w:bookmarkEnd w:id="118"/>
      <w:bookmarkStart w:id="119" w:name="_Toc502995861"/>
      <w:bookmarkEnd w:id="119"/>
      <w:bookmarkStart w:id="120" w:name="_Toc440895982"/>
      <w:bookmarkEnd w:id="120"/>
    </w:p>
    <w:bookmarkEnd w:id="83"/>
    <w:p>
      <w:pPr>
        <w:keepNext/>
        <w:keepLines/>
        <w:numPr>
          <w:ilvl w:val="0"/>
          <w:numId w:val="2"/>
        </w:numPr>
        <w:spacing w:before="156" w:beforeLines="50" w:after="156" w:afterLines="50" w:line="560" w:lineRule="exact"/>
        <w:ind w:firstLineChars="0"/>
        <w:jc w:val="left"/>
        <w:outlineLvl w:val="1"/>
        <w:rPr>
          <w:rFonts w:ascii="仿宋_GB2312" w:eastAsia="仿宋_GB2312"/>
          <w:vanish/>
          <w:sz w:val="32"/>
          <w:szCs w:val="32"/>
        </w:rPr>
      </w:pPr>
      <w:bookmarkStart w:id="121" w:name="_Toc440895983"/>
      <w:bookmarkEnd w:id="121"/>
      <w:bookmarkStart w:id="122" w:name="_Toc440896351"/>
      <w:bookmarkEnd w:id="122"/>
      <w:bookmarkStart w:id="123" w:name="_Toc440895040"/>
      <w:bookmarkEnd w:id="123"/>
      <w:bookmarkStart w:id="124" w:name="_Toc440895124"/>
      <w:bookmarkEnd w:id="124"/>
      <w:bookmarkStart w:id="125" w:name="_Toc440896830"/>
      <w:bookmarkEnd w:id="125"/>
      <w:bookmarkStart w:id="126" w:name="_Toc440831390"/>
      <w:bookmarkEnd w:id="126"/>
      <w:bookmarkStart w:id="127" w:name="_Toc440897195"/>
      <w:bookmarkEnd w:id="127"/>
      <w:bookmarkStart w:id="128" w:name="_Toc440897286"/>
      <w:bookmarkEnd w:id="128"/>
      <w:bookmarkStart w:id="129" w:name="_Toc440897513"/>
      <w:bookmarkEnd w:id="129"/>
      <w:bookmarkStart w:id="130" w:name="_Toc440376761"/>
      <w:bookmarkEnd w:id="130"/>
      <w:bookmarkStart w:id="131" w:name="_Toc440896944"/>
      <w:bookmarkEnd w:id="131"/>
      <w:bookmarkStart w:id="132" w:name="_Toc440376797"/>
      <w:bookmarkEnd w:id="132"/>
      <w:bookmarkStart w:id="133" w:name="_Toc440895235"/>
      <w:bookmarkEnd w:id="133"/>
      <w:bookmarkStart w:id="134" w:name="_Toc440895899"/>
      <w:bookmarkEnd w:id="134"/>
      <w:bookmarkStart w:id="135" w:name="_Toc440896083"/>
      <w:bookmarkEnd w:id="135"/>
      <w:bookmarkStart w:id="136" w:name="_Toc440896701"/>
      <w:bookmarkEnd w:id="136"/>
      <w:bookmarkStart w:id="137" w:name="_Toc440896615"/>
      <w:bookmarkEnd w:id="137"/>
      <w:bookmarkStart w:id="138" w:name="_Toc439878406"/>
      <w:bookmarkEnd w:id="138"/>
      <w:bookmarkStart w:id="139" w:name="_Toc439878442"/>
      <w:bookmarkEnd w:id="139"/>
      <w:bookmarkStart w:id="140" w:name="_Toc440894950"/>
      <w:bookmarkEnd w:id="140"/>
      <w:bookmarkStart w:id="141" w:name="_Toc440897428"/>
      <w:bookmarkEnd w:id="141"/>
      <w:bookmarkStart w:id="142" w:name="_Toc440895565"/>
      <w:bookmarkEnd w:id="142"/>
      <w:bookmarkStart w:id="143" w:name="_Toc440831534"/>
      <w:bookmarkEnd w:id="143"/>
      <w:bookmarkStart w:id="144" w:name="_Toc502995862"/>
      <w:bookmarkEnd w:id="144"/>
      <w:bookmarkStart w:id="145" w:name="_Toc441138114"/>
      <w:bookmarkEnd w:id="145"/>
      <w:bookmarkStart w:id="146" w:name="_Toc502996393"/>
      <w:bookmarkEnd w:id="146"/>
      <w:bookmarkStart w:id="147" w:name="_Toc441136127"/>
      <w:bookmarkEnd w:id="147"/>
      <w:bookmarkStart w:id="148" w:name="_Toc440897694"/>
      <w:bookmarkEnd w:id="148"/>
      <w:bookmarkStart w:id="149" w:name="_Toc440897909"/>
      <w:bookmarkEnd w:id="149"/>
      <w:bookmarkStart w:id="150" w:name="_Toc441136168"/>
      <w:bookmarkEnd w:id="150"/>
      <w:bookmarkStart w:id="151" w:name="_Toc441136458"/>
      <w:bookmarkEnd w:id="151"/>
      <w:bookmarkStart w:id="152" w:name="_Toc440900697"/>
      <w:bookmarkEnd w:id="152"/>
      <w:bookmarkStart w:id="153" w:name="_Toc440897763"/>
      <w:bookmarkEnd w:id="153"/>
      <w:bookmarkStart w:id="154" w:name="_Toc441136617"/>
      <w:bookmarkEnd w:id="154"/>
      <w:bookmarkStart w:id="155" w:name="_Toc502996219"/>
      <w:bookmarkEnd w:id="155"/>
      <w:bookmarkStart w:id="156" w:name="_Toc440897859"/>
      <w:bookmarkEnd w:id="156"/>
      <w:bookmarkStart w:id="157" w:name="_Toc441136529"/>
      <w:bookmarkEnd w:id="157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2" name="文本框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NM+8ARAgAACQQAAA4AAABkcnMvZTJvRG9jLnhtbK1TzY7TMBC+I/EO&#10;lu80aRFLVT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U0z7wBECAAAJ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2844"/>
    <w:multiLevelType w:val="multilevel"/>
    <w:tmpl w:val="12CE2844"/>
    <w:lvl w:ilvl="0" w:tentative="0">
      <w:start w:val="2"/>
      <w:numFmt w:val="decimal"/>
      <w:lvlText w:val="%1."/>
      <w:lvlJc w:val="left"/>
      <w:pPr>
        <w:ind w:left="615" w:hanging="615"/>
      </w:pPr>
      <w:rPr>
        <w:rFonts w:hint="default" w:hAnsi="宋体" w:cs="Times New Roman"/>
      </w:rPr>
    </w:lvl>
    <w:lvl w:ilvl="1" w:tentative="0">
      <w:start w:val="1"/>
      <w:numFmt w:val="decimal"/>
      <w:lvlText w:val="4.%2"/>
      <w:lvlJc w:val="left"/>
      <w:pPr>
        <w:ind w:left="720" w:hanging="720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1080" w:hanging="1080"/>
      </w:pPr>
      <w:rPr>
        <w:rFonts w:hint="default" w:hAnsi="宋体" w:cs="Times New Roman"/>
      </w:rPr>
    </w:lvl>
    <w:lvl w:ilvl="3" w:tentative="0">
      <w:start w:val="1"/>
      <w:numFmt w:val="decimal"/>
      <w:lvlText w:val="%1.%2.%3.%4."/>
      <w:lvlJc w:val="left"/>
      <w:pPr>
        <w:ind w:left="1440" w:hanging="1440"/>
      </w:pPr>
      <w:rPr>
        <w:rFonts w:hint="default" w:hAnsi="宋体" w:cs="Times New Roman"/>
      </w:rPr>
    </w:lvl>
    <w:lvl w:ilvl="4" w:tentative="0">
      <w:start w:val="1"/>
      <w:numFmt w:val="decimal"/>
      <w:lvlText w:val="%1.%2.%3.%4.%5."/>
      <w:lvlJc w:val="left"/>
      <w:pPr>
        <w:ind w:left="1440" w:hanging="1440"/>
      </w:pPr>
      <w:rPr>
        <w:rFonts w:hint="default" w:hAnsi="宋体" w:cs="Times New Roman"/>
      </w:rPr>
    </w:lvl>
    <w:lvl w:ilvl="5" w:tentative="0">
      <w:start w:val="1"/>
      <w:numFmt w:val="decimal"/>
      <w:lvlText w:val="%1.%2.%3.%4.%5.%6."/>
      <w:lvlJc w:val="left"/>
      <w:pPr>
        <w:ind w:left="1800" w:hanging="1800"/>
      </w:pPr>
      <w:rPr>
        <w:rFonts w:hint="default" w:hAnsi="宋体" w:cs="Times New Roman"/>
      </w:rPr>
    </w:lvl>
    <w:lvl w:ilvl="6" w:tentative="0">
      <w:start w:val="1"/>
      <w:numFmt w:val="decimal"/>
      <w:lvlText w:val="%1.%2.%3.%4.%5.%6.%7."/>
      <w:lvlJc w:val="left"/>
      <w:pPr>
        <w:ind w:left="2160" w:hanging="2160"/>
      </w:pPr>
      <w:rPr>
        <w:rFonts w:hint="default" w:hAnsi="宋体" w:cs="Times New Roman"/>
      </w:rPr>
    </w:lvl>
    <w:lvl w:ilvl="7" w:tentative="0">
      <w:start w:val="1"/>
      <w:numFmt w:val="decimal"/>
      <w:lvlText w:val="%1.%2.%3.%4.%5.%6.%7.%8."/>
      <w:lvlJc w:val="left"/>
      <w:pPr>
        <w:ind w:left="2520" w:hanging="2520"/>
      </w:pPr>
      <w:rPr>
        <w:rFonts w:hint="default" w:hAnsi="宋体" w:cs="Times New Roman"/>
      </w:rPr>
    </w:lvl>
    <w:lvl w:ilvl="8" w:tentative="0">
      <w:start w:val="1"/>
      <w:numFmt w:val="decimal"/>
      <w:lvlText w:val="%1.%2.%3.%4.%5.%6.%7.%8.%9."/>
      <w:lvlJc w:val="left"/>
      <w:pPr>
        <w:ind w:left="2880" w:hanging="2880"/>
      </w:pPr>
      <w:rPr>
        <w:rFonts w:hint="default" w:hAnsi="宋体" w:cs="Times New Roman"/>
      </w:rPr>
    </w:lvl>
  </w:abstractNum>
  <w:abstractNum w:abstractNumId="1">
    <w:nsid w:val="458A7EBE"/>
    <w:multiLevelType w:val="multilevel"/>
    <w:tmpl w:val="458A7EBE"/>
    <w:lvl w:ilvl="0" w:tentative="0">
      <w:start w:val="1"/>
      <w:numFmt w:val="decimal"/>
      <w:suff w:val="nothing"/>
      <w:lvlText w:val="%1、"/>
      <w:lvlJc w:val="left"/>
      <w:pPr>
        <w:ind w:left="127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83351"/>
    <w:rsid w:val="001C427A"/>
    <w:rsid w:val="0023049B"/>
    <w:rsid w:val="00363719"/>
    <w:rsid w:val="00566ABF"/>
    <w:rsid w:val="0069204A"/>
    <w:rsid w:val="00753DB3"/>
    <w:rsid w:val="007C7358"/>
    <w:rsid w:val="0080354B"/>
    <w:rsid w:val="008734E8"/>
    <w:rsid w:val="00893575"/>
    <w:rsid w:val="00B11199"/>
    <w:rsid w:val="00B775C0"/>
    <w:rsid w:val="00D55D41"/>
    <w:rsid w:val="00D93EB9"/>
    <w:rsid w:val="00DF7658"/>
    <w:rsid w:val="00F90C85"/>
    <w:rsid w:val="00FF35B0"/>
    <w:rsid w:val="01EE3855"/>
    <w:rsid w:val="04542FD6"/>
    <w:rsid w:val="0CD27279"/>
    <w:rsid w:val="0E693258"/>
    <w:rsid w:val="0F7C263D"/>
    <w:rsid w:val="108544E4"/>
    <w:rsid w:val="10F27AD6"/>
    <w:rsid w:val="19D77B83"/>
    <w:rsid w:val="1BCF33E4"/>
    <w:rsid w:val="1C2A3817"/>
    <w:rsid w:val="1CD641A5"/>
    <w:rsid w:val="23314683"/>
    <w:rsid w:val="2FE83351"/>
    <w:rsid w:val="31D7183F"/>
    <w:rsid w:val="3B42377D"/>
    <w:rsid w:val="3B76636D"/>
    <w:rsid w:val="43972CCD"/>
    <w:rsid w:val="43F73130"/>
    <w:rsid w:val="469317FA"/>
    <w:rsid w:val="46B808B0"/>
    <w:rsid w:val="4D2D42CA"/>
    <w:rsid w:val="50300AEE"/>
    <w:rsid w:val="51B20E7B"/>
    <w:rsid w:val="5906643A"/>
    <w:rsid w:val="59BE67C3"/>
    <w:rsid w:val="5C1D1265"/>
    <w:rsid w:val="62F820A7"/>
    <w:rsid w:val="6BDD1A88"/>
    <w:rsid w:val="6D535020"/>
    <w:rsid w:val="73B359D7"/>
    <w:rsid w:val="73EB2B49"/>
    <w:rsid w:val="745A0CBA"/>
    <w:rsid w:val="758901FC"/>
    <w:rsid w:val="7C141E95"/>
    <w:rsid w:val="7C7A6E8E"/>
    <w:rsid w:val="7EF8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after="50" w:afterLines="50"/>
      <w:jc w:val="left"/>
      <w:outlineLvl w:val="0"/>
    </w:pPr>
    <w:rPr>
      <w:rFonts w:eastAsia="微软雅黑"/>
      <w:b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35"/>
    <w:pPr>
      <w:spacing w:before="50" w:beforeLines="50" w:after="50" w:afterLines="50"/>
      <w:ind w:left="200" w:leftChars="200" w:firstLine="0" w:firstLineChars="0"/>
      <w:jc w:val="center"/>
    </w:pPr>
    <w:rPr>
      <w:rFonts w:ascii="Calibri" w:hAnsi="Calibri" w:cs="Arial"/>
      <w:b/>
      <w:sz w:val="24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2">
    <w:name w:val="List Paragraph"/>
    <w:basedOn w:val="1"/>
    <w:qFormat/>
    <w:uiPriority w:val="34"/>
    <w:pPr>
      <w:ind w:firstLine="420"/>
    </w:pPr>
  </w:style>
  <w:style w:type="paragraph" w:customStyle="1" w:styleId="13">
    <w:name w:val="表格正文"/>
    <w:basedOn w:val="1"/>
    <w:qFormat/>
    <w:uiPriority w:val="0"/>
    <w:pPr>
      <w:widowControl/>
      <w:ind w:firstLine="0" w:firstLineChars="0"/>
      <w:jc w:val="center"/>
    </w:pPr>
    <w:rPr>
      <w:rFonts w:cs="宋体" w:asciiTheme="minorEastAsia" w:hAnsiTheme="minorEastAsia" w:eastAsiaTheme="minorEastAsia"/>
      <w:color w:val="000000"/>
      <w:kern w:val="0"/>
      <w:szCs w:val="21"/>
    </w:rPr>
  </w:style>
  <w:style w:type="paragraph" w:customStyle="1" w:styleId="14">
    <w:name w:val="样式1"/>
    <w:basedOn w:val="1"/>
    <w:qFormat/>
    <w:uiPriority w:val="0"/>
    <w:pPr>
      <w:ind w:firstLine="0" w:firstLineChars="0"/>
      <w:jc w:val="center"/>
    </w:pPr>
    <w:rPr>
      <w:rFonts w:asciiTheme="minorHAnsi" w:hAnsiTheme="minorHAnsi" w:eastAsiaTheme="minorEastAsia" w:cstheme="minorBidi"/>
      <w:b/>
    </w:rPr>
  </w:style>
  <w:style w:type="paragraph" w:customStyle="1" w:styleId="15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chart" Target="charts/chart6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oleObject" Target="file:///E:\YY\&#29983;&#28304;\&#19987;&#31185;&#29983;&#28304;bf\excel&#27169;&#26495;-2&#28493;&#22346;&#25252;&#29702;&#32844;&#19994;&#23398;&#38498;14347&#29983;&#28304;.xlsx" TargetMode="External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4.xml"/><Relationship Id="rId3" Type="http://schemas.microsoft.com/office/2011/relationships/chartStyle" Target="style4.xml"/><Relationship Id="rId2" Type="http://schemas.openxmlformats.org/officeDocument/2006/relationships/themeOverride" Target="../theme/themeOverride4.xml"/><Relationship Id="rId1" Type="http://schemas.openxmlformats.org/officeDocument/2006/relationships/oleObject" Target="file:///E:\YY\&#29983;&#28304;\&#19987;&#31185;&#29983;&#28304;bf\excel&#27169;&#26495;-2&#28493;&#22346;&#25252;&#29702;&#32844;&#19994;&#23398;&#38498;14347&#29983;&#28304;.xlsx" TargetMode="External"/></Relationships>
</file>

<file path=word/charts/_rels/chart3.xml.rels><?xml version="1.0" encoding="UTF-8" standalone="yes"?>
<Relationships xmlns="http://schemas.openxmlformats.org/package/2006/relationships"><Relationship Id="rId4" Type="http://schemas.microsoft.com/office/2011/relationships/chartColorStyle" Target="colors3.xml"/><Relationship Id="rId3" Type="http://schemas.microsoft.com/office/2011/relationships/chartStyle" Target="style3.xml"/><Relationship Id="rId2" Type="http://schemas.openxmlformats.org/officeDocument/2006/relationships/themeOverride" Target="../theme/themeOverride3.xml"/><Relationship Id="rId1" Type="http://schemas.openxmlformats.org/officeDocument/2006/relationships/oleObject" Target="file:///E:\&#26472;&#26104;\&#23601;&#19994;\&#19987;&#31185;\excel&#27169;&#26495;-1&#28392;&#24030;&#21307;&#23398;&#38498;10440&#23601;&#19994;&#24773;&#20917;.xlsx" TargetMode="External"/></Relationships>
</file>

<file path=word/charts/_rels/chart4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2.xml"/><Relationship Id="rId1" Type="http://schemas.openxmlformats.org/officeDocument/2006/relationships/oleObject" Target="file:///E:\&#23391;&#26480;\&#23601;&#19994;\&#23601;&#19994;&#65288;&#24050;&#20570;&#65289;\&#19987;&#31185;&#23601;&#19994;&#65288;&#24050;&#20570;&#65289;\28&#23041;&#28023;&#28023;&#27915;&#32844;&#19994;&#23398;&#38498;14507&#23601;&#19994;mj.xlsx" TargetMode="External"/></Relationships>
</file>

<file path=word/charts/_rels/chart5.xml.rels><?xml version="1.0" encoding="UTF-8" standalone="yes"?>
<Relationships xmlns="http://schemas.openxmlformats.org/package/2006/relationships"><Relationship Id="rId4" Type="http://schemas.microsoft.com/office/2011/relationships/chartColorStyle" Target="colors6.xml"/><Relationship Id="rId3" Type="http://schemas.microsoft.com/office/2011/relationships/chartStyle" Target="style6.xml"/><Relationship Id="rId2" Type="http://schemas.openxmlformats.org/officeDocument/2006/relationships/themeOverride" Target="../theme/themeOverride5.xml"/><Relationship Id="rId1" Type="http://schemas.openxmlformats.org/officeDocument/2006/relationships/oleObject" Target="file:///E:\&#23391;&#26480;\&#23601;&#19994;\&#23601;&#19994;&#65288;&#24050;&#20570;&#65289;\&#19987;&#31185;&#23601;&#19994;&#65288;&#24050;&#20570;&#65289;\28&#23041;&#28023;&#28023;&#27915;&#32844;&#19994;&#23398;&#38498;14507&#23601;&#19994;mj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E:\GW\&#26657;&#23545;&#24635;\28&#23041;&#28023;&#28023;&#27915;&#32844;&#19994;&#23398;&#38498;14507&#23601;&#19994;mj&#65288;&#24050;&#20570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9051440292718"/>
          <c:y val="0.174231293713984"/>
          <c:w val="0.764655710143647"/>
          <c:h val="0.703678939573894"/>
        </c:manualLayout>
      </c:layout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0505747126436782"/>
                  <c:y val="-0.20856610800744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689655172413793"/>
                  <c:y val="0.29050279329608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xbjg_qxxbjg!$A$1:$A$2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xbjg_qxxbjg!$B$1:$B$2</c:f>
              <c:numCache>
                <c:formatCode>General</c:formatCode>
                <c:ptCount val="2"/>
                <c:pt idx="0">
                  <c:v>341</c:v>
                </c:pt>
                <c:pt idx="1">
                  <c:v>370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spPr/>
                <c:explosion val="0"/>
                <c:dPt>
                  <c:idx val="0"/>
                  <c:bubble3D val="0"/>
                  <c:spPr>
                    <a:solidFill>
                      <a:schemeClr val="accent1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lang="zh-CN" sz="8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extLst>
                    <c:ext xmlns:c15="http://schemas.microsoft.com/office/drawing/2012/chart" uri="{CE6537A1-D6FC-4f65-9D91-7224C49458BB}">
                      <c15:layout/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xbjg_qxxbjg!$A$1:$A$2</c15:sqref>
                        </c15:formulaRef>
                      </c:ext>
                    </c:extLst>
                    <c:strCache>
                      <c:ptCount val="2"/>
                      <c:pt idx="0">
                        <c:v>男</c:v>
                      </c:pt>
                      <c:pt idx="1">
                        <c:v>女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xbjg_qxxbjg!$C$1:$C$2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47.96</c:v>
                      </c:pt>
                      <c:pt idx="1">
                        <c:v>52.04</c:v>
                      </c:pt>
                    </c:numCache>
                  </c:numRef>
                </c:val>
              </c15:ser>
            </c15:filteredPieSeries>
          </c:ext>
        </c:extLst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800" baseline="0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  <a:r>
              <a:rPr lang="en-US" sz="800">
                <a:latin typeface="+mn-ea"/>
                <a:ea typeface="+mn-ea"/>
              </a:rPr>
              <a:t>(%)</a:t>
            </a:r>
            <a:endParaRPr lang="zh-CN" sz="800">
              <a:latin typeface="+mn-ea"/>
              <a:ea typeface="+mn-ea"/>
            </a:endParaRPr>
          </a:p>
        </c:rich>
      </c:tx>
      <c:layout>
        <c:manualLayout>
          <c:xMode val="edge"/>
          <c:yMode val="edge"/>
          <c:x val="0.0301805213279638"/>
          <c:y val="0.022229167918895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63551934900871"/>
          <c:y val="0.154894831694425"/>
          <c:w val="0.897271944060428"/>
          <c:h val="0.686332595522334"/>
        </c:manualLayout>
      </c:layout>
      <c:barChart>
        <c:barDir val="col"/>
        <c:grouping val="clustered"/>
        <c:varyColors val="0"/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.00_);[Red]\(#,##0.00\)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sydfb_snsyd!$A$1:$A$18</c:f>
              <c:strCache>
                <c:ptCount val="18"/>
                <c:pt idx="0">
                  <c:v>菏泽</c:v>
                </c:pt>
                <c:pt idx="1">
                  <c:v>潍坊</c:v>
                </c:pt>
                <c:pt idx="2">
                  <c:v>淄博</c:v>
                </c:pt>
                <c:pt idx="3">
                  <c:v>济宁</c:v>
                </c:pt>
                <c:pt idx="4">
                  <c:v>临沂</c:v>
                </c:pt>
                <c:pt idx="5">
                  <c:v>滨州</c:v>
                </c:pt>
                <c:pt idx="6">
                  <c:v>德州</c:v>
                </c:pt>
                <c:pt idx="7">
                  <c:v>枣庄</c:v>
                </c:pt>
                <c:pt idx="8">
                  <c:v>烟台</c:v>
                </c:pt>
                <c:pt idx="9">
                  <c:v>济南</c:v>
                </c:pt>
                <c:pt idx="10">
                  <c:v>威海</c:v>
                </c:pt>
                <c:pt idx="11">
                  <c:v>青岛</c:v>
                </c:pt>
                <c:pt idx="12">
                  <c:v>泰安</c:v>
                </c:pt>
                <c:pt idx="13">
                  <c:v>莱芜</c:v>
                </c:pt>
                <c:pt idx="14">
                  <c:v>聊城</c:v>
                </c:pt>
                <c:pt idx="15">
                  <c:v>东营</c:v>
                </c:pt>
                <c:pt idx="16">
                  <c:v>日照</c:v>
                </c:pt>
                <c:pt idx="17">
                  <c:v>外省</c:v>
                </c:pt>
              </c:strCache>
            </c:strRef>
          </c:cat>
          <c:val>
            <c:numRef>
              <c:f>sydfb_snsyd!$C$1:$C$18</c:f>
              <c:numCache>
                <c:formatCode>0.00_ </c:formatCode>
                <c:ptCount val="18"/>
                <c:pt idx="0">
                  <c:v>14.35</c:v>
                </c:pt>
                <c:pt idx="1">
                  <c:v>10.13</c:v>
                </c:pt>
                <c:pt idx="2">
                  <c:v>9.99</c:v>
                </c:pt>
                <c:pt idx="3">
                  <c:v>9.28</c:v>
                </c:pt>
                <c:pt idx="4">
                  <c:v>7.59</c:v>
                </c:pt>
                <c:pt idx="5">
                  <c:v>7.03</c:v>
                </c:pt>
                <c:pt idx="6">
                  <c:v>6.47</c:v>
                </c:pt>
                <c:pt idx="7">
                  <c:v>6.05</c:v>
                </c:pt>
                <c:pt idx="8">
                  <c:v>6.05</c:v>
                </c:pt>
                <c:pt idx="9">
                  <c:v>5.06</c:v>
                </c:pt>
                <c:pt idx="10">
                  <c:v>3.52</c:v>
                </c:pt>
                <c:pt idx="11">
                  <c:v>3.23</c:v>
                </c:pt>
                <c:pt idx="12">
                  <c:v>2.95</c:v>
                </c:pt>
                <c:pt idx="13">
                  <c:v>2.39</c:v>
                </c:pt>
                <c:pt idx="14">
                  <c:v>1.97</c:v>
                </c:pt>
                <c:pt idx="15">
                  <c:v>1.69</c:v>
                </c:pt>
                <c:pt idx="16">
                  <c:v>1.27</c:v>
                </c:pt>
                <c:pt idx="17">
                  <c:v>0.98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45532048"/>
        <c:axId val="24777100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lang="zh-CN" sz="8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xmlns:c15="http://schemas.microsoft.com/office/drawing/2012/chart" uri="{CE6537A1-D6FC-4f65-9D91-7224C49458BB}">
                      <c15:layout/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sydfb_snsyd!$A$1:$A$18</c15:sqref>
                        </c15:formulaRef>
                      </c:ext>
                    </c:extLst>
                    <c:strCache>
                      <c:ptCount val="18"/>
                      <c:pt idx="0">
                        <c:v>菏泽</c:v>
                      </c:pt>
                      <c:pt idx="1">
                        <c:v>潍坊</c:v>
                      </c:pt>
                      <c:pt idx="2">
                        <c:v>淄博</c:v>
                      </c:pt>
                      <c:pt idx="3">
                        <c:v>济宁</c:v>
                      </c:pt>
                      <c:pt idx="4">
                        <c:v>临沂</c:v>
                      </c:pt>
                      <c:pt idx="5">
                        <c:v>滨州</c:v>
                      </c:pt>
                      <c:pt idx="6">
                        <c:v>德州</c:v>
                      </c:pt>
                      <c:pt idx="7">
                        <c:v>枣庄</c:v>
                      </c:pt>
                      <c:pt idx="8">
                        <c:v>烟台</c:v>
                      </c:pt>
                      <c:pt idx="9">
                        <c:v>济南</c:v>
                      </c:pt>
                      <c:pt idx="10">
                        <c:v>威海</c:v>
                      </c:pt>
                      <c:pt idx="11">
                        <c:v>青岛</c:v>
                      </c:pt>
                      <c:pt idx="12">
                        <c:v>泰安</c:v>
                      </c:pt>
                      <c:pt idx="13">
                        <c:v>莱芜</c:v>
                      </c:pt>
                      <c:pt idx="14">
                        <c:v>聊城</c:v>
                      </c:pt>
                      <c:pt idx="15">
                        <c:v>东营</c:v>
                      </c:pt>
                      <c:pt idx="16">
                        <c:v>日照</c:v>
                      </c:pt>
                      <c:pt idx="17">
                        <c:v>外省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sydfb_snsyd!$B$1:$B$18</c15:sqref>
                        </c15:formulaRef>
                      </c:ext>
                    </c:extLst>
                    <c:numCache>
                      <c:formatCode>General</c:formatCode>
                      <c:ptCount val="18"/>
                      <c:pt idx="0">
                        <c:v>102</c:v>
                      </c:pt>
                      <c:pt idx="1">
                        <c:v>72</c:v>
                      </c:pt>
                      <c:pt idx="2">
                        <c:v>71</c:v>
                      </c:pt>
                      <c:pt idx="3">
                        <c:v>66</c:v>
                      </c:pt>
                      <c:pt idx="4">
                        <c:v>54</c:v>
                      </c:pt>
                      <c:pt idx="5">
                        <c:v>50</c:v>
                      </c:pt>
                      <c:pt idx="6">
                        <c:v>46</c:v>
                      </c:pt>
                      <c:pt idx="7">
                        <c:v>43</c:v>
                      </c:pt>
                      <c:pt idx="8">
                        <c:v>43</c:v>
                      </c:pt>
                      <c:pt idx="9">
                        <c:v>36</c:v>
                      </c:pt>
                      <c:pt idx="10">
                        <c:v>25</c:v>
                      </c:pt>
                      <c:pt idx="11">
                        <c:v>23</c:v>
                      </c:pt>
                      <c:pt idx="12">
                        <c:v>21</c:v>
                      </c:pt>
                      <c:pt idx="13">
                        <c:v>17</c:v>
                      </c:pt>
                      <c:pt idx="14">
                        <c:v>14</c:v>
                      </c:pt>
                      <c:pt idx="15">
                        <c:v>12</c:v>
                      </c:pt>
                      <c:pt idx="16">
                        <c:v>9</c:v>
                      </c:pt>
                      <c:pt idx="17">
                        <c:v>7</c:v>
                      </c:pt>
                    </c:numCache>
                  </c:numRef>
                </c:val>
              </c15:ser>
            </c15:filteredBarSeries>
          </c:ext>
        </c:extLst>
      </c:barChart>
      <c:catAx>
        <c:axId val="245532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eaVert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47771000"/>
        <c:crosses val="autoZero"/>
        <c:auto val="1"/>
        <c:lblAlgn val="ctr"/>
        <c:lblOffset val="100"/>
        <c:noMultiLvlLbl val="0"/>
      </c:catAx>
      <c:valAx>
        <c:axId val="247771000"/>
        <c:scaling>
          <c:orientation val="minMax"/>
        </c:scaling>
        <c:delete val="0"/>
        <c:axPos val="l"/>
        <c:numFmt formatCode="0_ " sourceLinked="0"/>
        <c:majorTickMark val="none"/>
        <c:minorTickMark val="none"/>
        <c:tickLblPos val="nextTo"/>
        <c:spPr>
          <a:noFill/>
          <a:ln>
            <a:solidFill>
              <a:sysClr val="windowText" lastClr="000000">
                <a:lumMod val="25000"/>
                <a:lumOff val="7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45532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800" baseline="0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  <a:r>
              <a:rPr lang="en-US" sz="800" baseline="0">
                <a:latin typeface="+mn-ea"/>
                <a:ea typeface="+mn-ea"/>
              </a:rPr>
              <a:t>(%)</a:t>
            </a:r>
            <a:endParaRPr lang="zh-CN" sz="800" baseline="0">
              <a:latin typeface="+mn-ea"/>
              <a:ea typeface="+mn-ea"/>
            </a:endParaRPr>
          </a:p>
        </c:rich>
      </c:tx>
      <c:layout>
        <c:manualLayout>
          <c:xMode val="edge"/>
          <c:yMode val="edge"/>
          <c:x val="0.0806477775089625"/>
          <c:y val="0.018518735637574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50292224145431"/>
          <c:y val="0.145361069779538"/>
          <c:w val="0.820859057228898"/>
          <c:h val="0.721478194693737"/>
        </c:manualLayout>
      </c:layout>
      <c:barChart>
        <c:barDir val="col"/>
        <c:grouping val="clustered"/>
        <c:varyColors val="0"/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.00_);[Red]\(#,##0.00\)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jyl_axbtj!$A$1:$A$2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jyl_axbtj!$D$1:$D$2</c:f>
              <c:numCache>
                <c:formatCode>General</c:formatCode>
                <c:ptCount val="2"/>
                <c:pt idx="0">
                  <c:v>95.6</c:v>
                </c:pt>
                <c:pt idx="1">
                  <c:v>96.49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47772176"/>
        <c:axId val="24777256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lang="zh-CN" sz="8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xmlns:c15="http://schemas.microsoft.com/office/drawing/2012/chart" uri="{CE6537A1-D6FC-4f65-9D91-7224C49458BB}">
                      <c15:layout/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jyl_axbtj!$A$1:$A$2</c15:sqref>
                        </c15:formulaRef>
                      </c:ext>
                    </c:extLst>
                    <c:strCache>
                      <c:ptCount val="2"/>
                      <c:pt idx="0">
                        <c:v>男</c:v>
                      </c:pt>
                      <c:pt idx="1">
                        <c:v>女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jyl_axbtj!$B$1:$B$2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341</c:v>
                      </c:pt>
                      <c:pt idx="1">
                        <c:v>370</c:v>
                      </c:pt>
                    </c:numCache>
                  </c:numRef>
                </c:val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lang="zh-CN" sz="8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xmlns:c15="http://schemas.microsoft.com/office/drawing/2012/chart" uri="{CE6537A1-D6FC-4f65-9D91-7224C49458BB}">
                      <c15:layout/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jyl_axbtj!$A$1:$A$2</c15:sqref>
                        </c15:formulaRef>
                      </c:ext>
                    </c:extLst>
                    <c:strCache>
                      <c:ptCount val="2"/>
                      <c:pt idx="0">
                        <c:v>男</c:v>
                      </c:pt>
                      <c:pt idx="1">
                        <c:v>女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jyl_axbtj!$C$1:$C$2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326</c:v>
                      </c:pt>
                      <c:pt idx="1">
                        <c:v>357</c:v>
                      </c:pt>
                    </c:numCache>
                  </c:numRef>
                </c:val>
              </c15:ser>
            </c15:filteredBarSeries>
          </c:ext>
        </c:extLst>
      </c:barChart>
      <c:catAx>
        <c:axId val="247772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47772568"/>
        <c:crosses val="autoZero"/>
        <c:auto val="1"/>
        <c:lblAlgn val="ctr"/>
        <c:lblOffset val="100"/>
        <c:noMultiLvlLbl val="0"/>
      </c:catAx>
      <c:valAx>
        <c:axId val="247772568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noFill/>
          <a:ln>
            <a:solidFill>
              <a:sysClr val="windowText" lastClr="000000">
                <a:lumMod val="25000"/>
                <a:lumOff val="7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47772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800" baseline="0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sz="800" baseline="0"/>
              <a:t>（</a:t>
            </a:r>
            <a:r>
              <a:rPr lang="en-US" sz="800" baseline="0"/>
              <a:t>%</a:t>
            </a:r>
            <a:r>
              <a:rPr lang="zh-CN" sz="800" baseline="0"/>
              <a:t>）</a:t>
            </a:r>
            <a:endParaRPr lang="zh-CN" sz="800" baseline="0"/>
          </a:p>
        </c:rich>
      </c:tx>
      <c:layout>
        <c:manualLayout>
          <c:xMode val="edge"/>
          <c:yMode val="edge"/>
          <c:x val="0.0161755316599993"/>
          <c:y val="0.032407501481669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16977680666213"/>
          <c:y val="0.161485807651527"/>
          <c:w val="0.898427404273561"/>
          <c:h val="0.549250671729275"/>
        </c:manualLayout>
      </c:layout>
      <c:barChart>
        <c:barDir val="col"/>
        <c:grouping val="clustered"/>
        <c:varyColors val="0"/>
        <c:ser>
          <c:idx val="4"/>
          <c:order val="4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numFmt formatCode="#,##0.00_);[Red]\(#,##0.00\)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jylx_jydqlx!$A$1:$A$19</c:f>
              <c:strCache>
                <c:ptCount val="19"/>
                <c:pt idx="0">
                  <c:v>威海</c:v>
                </c:pt>
                <c:pt idx="1">
                  <c:v>青岛</c:v>
                </c:pt>
                <c:pt idx="2">
                  <c:v>济南</c:v>
                </c:pt>
                <c:pt idx="3">
                  <c:v>潍坊</c:v>
                </c:pt>
                <c:pt idx="4">
                  <c:v>淄博</c:v>
                </c:pt>
                <c:pt idx="5">
                  <c:v>菏泽</c:v>
                </c:pt>
                <c:pt idx="6">
                  <c:v>临沂</c:v>
                </c:pt>
                <c:pt idx="7">
                  <c:v>济宁</c:v>
                </c:pt>
                <c:pt idx="8">
                  <c:v>烟台</c:v>
                </c:pt>
                <c:pt idx="9">
                  <c:v>滨州</c:v>
                </c:pt>
                <c:pt idx="10">
                  <c:v>东营</c:v>
                </c:pt>
                <c:pt idx="11">
                  <c:v>德州</c:v>
                </c:pt>
                <c:pt idx="12">
                  <c:v>枣庄</c:v>
                </c:pt>
                <c:pt idx="13">
                  <c:v>日照</c:v>
                </c:pt>
                <c:pt idx="14">
                  <c:v>泰安</c:v>
                </c:pt>
                <c:pt idx="15">
                  <c:v>莱芜</c:v>
                </c:pt>
                <c:pt idx="16">
                  <c:v>聊城</c:v>
                </c:pt>
                <c:pt idx="17">
                  <c:v>外省</c:v>
                </c:pt>
                <c:pt idx="18">
                  <c:v>地区不明确</c:v>
                </c:pt>
              </c:strCache>
            </c:strRef>
          </c:cat>
          <c:val>
            <c:numRef>
              <c:f>jylx_jydqlx!$F$1:$F$19</c:f>
              <c:numCache>
                <c:formatCode>0.00_ </c:formatCode>
                <c:ptCount val="19"/>
                <c:pt idx="0">
                  <c:v>16.35</c:v>
                </c:pt>
                <c:pt idx="1">
                  <c:v>10.74</c:v>
                </c:pt>
                <c:pt idx="2">
                  <c:v>7.85</c:v>
                </c:pt>
                <c:pt idx="3">
                  <c:v>7.21</c:v>
                </c:pt>
                <c:pt idx="4">
                  <c:v>6.09</c:v>
                </c:pt>
                <c:pt idx="5">
                  <c:v>6.09</c:v>
                </c:pt>
                <c:pt idx="6">
                  <c:v>5.93</c:v>
                </c:pt>
                <c:pt idx="7">
                  <c:v>5.45</c:v>
                </c:pt>
                <c:pt idx="8">
                  <c:v>5.13</c:v>
                </c:pt>
                <c:pt idx="9">
                  <c:v>4.33</c:v>
                </c:pt>
                <c:pt idx="10">
                  <c:v>2.56</c:v>
                </c:pt>
                <c:pt idx="11">
                  <c:v>2.56</c:v>
                </c:pt>
                <c:pt idx="12">
                  <c:v>2.08</c:v>
                </c:pt>
                <c:pt idx="13">
                  <c:v>1.44</c:v>
                </c:pt>
                <c:pt idx="14">
                  <c:v>1.28</c:v>
                </c:pt>
                <c:pt idx="15">
                  <c:v>1.28</c:v>
                </c:pt>
                <c:pt idx="16">
                  <c:v>0.96</c:v>
                </c:pt>
                <c:pt idx="17">
                  <c:v>9.13</c:v>
                </c:pt>
                <c:pt idx="18">
                  <c:v>3.54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36116768"/>
        <c:axId val="73611716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lang="zh-CN" sz="8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xmlns:c15="http://schemas.microsoft.com/office/drawing/2012/chart" uri="{CE6537A1-D6FC-4f65-9D91-7224C49458BB}">
                      <c15:layout/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jylx_jydqlx!$A$1:$A$19</c15:sqref>
                        </c15:formulaRef>
                      </c:ext>
                    </c:extLst>
                    <c:strCache>
                      <c:ptCount val="19"/>
                      <c:pt idx="0">
                        <c:v>威海</c:v>
                      </c:pt>
                      <c:pt idx="1">
                        <c:v>青岛</c:v>
                      </c:pt>
                      <c:pt idx="2">
                        <c:v>济南</c:v>
                      </c:pt>
                      <c:pt idx="3">
                        <c:v>潍坊</c:v>
                      </c:pt>
                      <c:pt idx="4">
                        <c:v>淄博</c:v>
                      </c:pt>
                      <c:pt idx="5">
                        <c:v>菏泽</c:v>
                      </c:pt>
                      <c:pt idx="6">
                        <c:v>临沂</c:v>
                      </c:pt>
                      <c:pt idx="7">
                        <c:v>济宁</c:v>
                      </c:pt>
                      <c:pt idx="8">
                        <c:v>烟台</c:v>
                      </c:pt>
                      <c:pt idx="9">
                        <c:v>滨州</c:v>
                      </c:pt>
                      <c:pt idx="10">
                        <c:v>东营</c:v>
                      </c:pt>
                      <c:pt idx="11">
                        <c:v>德州</c:v>
                      </c:pt>
                      <c:pt idx="12">
                        <c:v>枣庄</c:v>
                      </c:pt>
                      <c:pt idx="13">
                        <c:v>日照</c:v>
                      </c:pt>
                      <c:pt idx="14">
                        <c:v>泰安</c:v>
                      </c:pt>
                      <c:pt idx="15">
                        <c:v>莱芜</c:v>
                      </c:pt>
                      <c:pt idx="16">
                        <c:v>聊城</c:v>
                      </c:pt>
                      <c:pt idx="17">
                        <c:v>外省</c:v>
                      </c:pt>
                      <c:pt idx="18">
                        <c:v>地区不明确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jylx_jydqlx!$B$1:$B$19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0</c:v>
                      </c:pt>
                      <c:pt idx="8">
                        <c:v>0</c:v>
                      </c:pt>
                      <c:pt idx="9">
                        <c:v>0</c:v>
                      </c:pt>
                      <c:pt idx="10">
                        <c:v>0</c:v>
                      </c:pt>
                      <c:pt idx="11">
                        <c:v>0</c:v>
                      </c:pt>
                      <c:pt idx="12">
                        <c:v>0</c:v>
                      </c:pt>
                      <c:pt idx="13">
                        <c:v>0</c:v>
                      </c:pt>
                      <c:pt idx="14">
                        <c:v>0</c:v>
                      </c:pt>
                      <c:pt idx="15">
                        <c:v>0</c:v>
                      </c:pt>
                      <c:pt idx="16">
                        <c:v>0</c:v>
                      </c:pt>
                      <c:pt idx="17">
                        <c:v>0</c:v>
                      </c:pt>
                      <c:pt idx="18">
                        <c:v>0</c:v>
                      </c:pt>
                    </c:numCache>
                  </c:numRef>
                </c:val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lang="zh-CN" sz="8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xmlns:c15="http://schemas.microsoft.com/office/drawing/2012/chart" uri="{CE6537A1-D6FC-4f65-9D91-7224C49458BB}">
                      <c15:layout/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jylx_jydqlx!$A$1:$A$19</c15:sqref>
                        </c15:formulaRef>
                      </c:ext>
                    </c:extLst>
                    <c:strCache>
                      <c:ptCount val="19"/>
                      <c:pt idx="0">
                        <c:v>威海</c:v>
                      </c:pt>
                      <c:pt idx="1">
                        <c:v>青岛</c:v>
                      </c:pt>
                      <c:pt idx="2">
                        <c:v>济南</c:v>
                      </c:pt>
                      <c:pt idx="3">
                        <c:v>潍坊</c:v>
                      </c:pt>
                      <c:pt idx="4">
                        <c:v>淄博</c:v>
                      </c:pt>
                      <c:pt idx="5">
                        <c:v>菏泽</c:v>
                      </c:pt>
                      <c:pt idx="6">
                        <c:v>临沂</c:v>
                      </c:pt>
                      <c:pt idx="7">
                        <c:v>济宁</c:v>
                      </c:pt>
                      <c:pt idx="8">
                        <c:v>烟台</c:v>
                      </c:pt>
                      <c:pt idx="9">
                        <c:v>滨州</c:v>
                      </c:pt>
                      <c:pt idx="10">
                        <c:v>东营</c:v>
                      </c:pt>
                      <c:pt idx="11">
                        <c:v>德州</c:v>
                      </c:pt>
                      <c:pt idx="12">
                        <c:v>枣庄</c:v>
                      </c:pt>
                      <c:pt idx="13">
                        <c:v>日照</c:v>
                      </c:pt>
                      <c:pt idx="14">
                        <c:v>泰安</c:v>
                      </c:pt>
                      <c:pt idx="15">
                        <c:v>莱芜</c:v>
                      </c:pt>
                      <c:pt idx="16">
                        <c:v>聊城</c:v>
                      </c:pt>
                      <c:pt idx="17">
                        <c:v>外省</c:v>
                      </c:pt>
                      <c:pt idx="18">
                        <c:v>地区不明确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jylx_jydqlx!$C$1:$C$19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0</c:v>
                      </c:pt>
                      <c:pt idx="8">
                        <c:v>0</c:v>
                      </c:pt>
                      <c:pt idx="9">
                        <c:v>0</c:v>
                      </c:pt>
                      <c:pt idx="10">
                        <c:v>0</c:v>
                      </c:pt>
                      <c:pt idx="11">
                        <c:v>0</c:v>
                      </c:pt>
                      <c:pt idx="12">
                        <c:v>0</c:v>
                      </c:pt>
                      <c:pt idx="13">
                        <c:v>0</c:v>
                      </c:pt>
                      <c:pt idx="14">
                        <c:v>0</c:v>
                      </c:pt>
                      <c:pt idx="15">
                        <c:v>0</c:v>
                      </c:pt>
                      <c:pt idx="16">
                        <c:v>0</c:v>
                      </c:pt>
                      <c:pt idx="17">
                        <c:v>0</c:v>
                      </c:pt>
                      <c:pt idx="18">
                        <c:v>0</c:v>
                      </c:pt>
                    </c:numCache>
                  </c:numRef>
                </c:val>
              </c15:ser>
            </c15:filteredBarSeries>
            <c15:filteredBarSeries>
              <c15:ser>
                <c:idx val="2"/>
                <c:order val="2"/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lang="zh-CN" sz="8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xmlns:c15="http://schemas.microsoft.com/office/drawing/2012/chart" uri="{CE6537A1-D6FC-4f65-9D91-7224C49458BB}">
                      <c15:layout/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jylx_jydqlx!$A$1:$A$19</c15:sqref>
                        </c15:formulaRef>
                      </c:ext>
                    </c:extLst>
                    <c:strCache>
                      <c:ptCount val="19"/>
                      <c:pt idx="0">
                        <c:v>威海</c:v>
                      </c:pt>
                      <c:pt idx="1">
                        <c:v>青岛</c:v>
                      </c:pt>
                      <c:pt idx="2">
                        <c:v>济南</c:v>
                      </c:pt>
                      <c:pt idx="3">
                        <c:v>潍坊</c:v>
                      </c:pt>
                      <c:pt idx="4">
                        <c:v>淄博</c:v>
                      </c:pt>
                      <c:pt idx="5">
                        <c:v>菏泽</c:v>
                      </c:pt>
                      <c:pt idx="6">
                        <c:v>临沂</c:v>
                      </c:pt>
                      <c:pt idx="7">
                        <c:v>济宁</c:v>
                      </c:pt>
                      <c:pt idx="8">
                        <c:v>烟台</c:v>
                      </c:pt>
                      <c:pt idx="9">
                        <c:v>滨州</c:v>
                      </c:pt>
                      <c:pt idx="10">
                        <c:v>东营</c:v>
                      </c:pt>
                      <c:pt idx="11">
                        <c:v>德州</c:v>
                      </c:pt>
                      <c:pt idx="12">
                        <c:v>枣庄</c:v>
                      </c:pt>
                      <c:pt idx="13">
                        <c:v>日照</c:v>
                      </c:pt>
                      <c:pt idx="14">
                        <c:v>泰安</c:v>
                      </c:pt>
                      <c:pt idx="15">
                        <c:v>莱芜</c:v>
                      </c:pt>
                      <c:pt idx="16">
                        <c:v>聊城</c:v>
                      </c:pt>
                      <c:pt idx="17">
                        <c:v>外省</c:v>
                      </c:pt>
                      <c:pt idx="18">
                        <c:v>地区不明确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jylx_jydqlx!$D$1:$D$19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102</c:v>
                      </c:pt>
                      <c:pt idx="1">
                        <c:v>67</c:v>
                      </c:pt>
                      <c:pt idx="2">
                        <c:v>49</c:v>
                      </c:pt>
                      <c:pt idx="3">
                        <c:v>45</c:v>
                      </c:pt>
                      <c:pt idx="4">
                        <c:v>38</c:v>
                      </c:pt>
                      <c:pt idx="5">
                        <c:v>38</c:v>
                      </c:pt>
                      <c:pt idx="6">
                        <c:v>37</c:v>
                      </c:pt>
                      <c:pt idx="7">
                        <c:v>34</c:v>
                      </c:pt>
                      <c:pt idx="8">
                        <c:v>32</c:v>
                      </c:pt>
                      <c:pt idx="9">
                        <c:v>27</c:v>
                      </c:pt>
                      <c:pt idx="10">
                        <c:v>16</c:v>
                      </c:pt>
                      <c:pt idx="11">
                        <c:v>16</c:v>
                      </c:pt>
                      <c:pt idx="12">
                        <c:v>13</c:v>
                      </c:pt>
                      <c:pt idx="13">
                        <c:v>9</c:v>
                      </c:pt>
                      <c:pt idx="14">
                        <c:v>8</c:v>
                      </c:pt>
                      <c:pt idx="15">
                        <c:v>8</c:v>
                      </c:pt>
                      <c:pt idx="16">
                        <c:v>6</c:v>
                      </c:pt>
                      <c:pt idx="17">
                        <c:v>57</c:v>
                      </c:pt>
                      <c:pt idx="18">
                        <c:v>22</c:v>
                      </c:pt>
                    </c:numCache>
                  </c:numRef>
                </c:val>
              </c15:ser>
            </c15:filteredBarSeries>
            <c15:filteredBarSeries>
              <c15:ser>
                <c:idx val="3"/>
                <c:order val="3"/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lang="zh-CN" sz="8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xmlns:c15="http://schemas.microsoft.com/office/drawing/2012/chart" uri="{CE6537A1-D6FC-4f65-9D91-7224C49458BB}">
                      <c15:layout/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jylx_jydqlx!$A$1:$A$19</c15:sqref>
                        </c15:formulaRef>
                      </c:ext>
                    </c:extLst>
                    <c:strCache>
                      <c:ptCount val="19"/>
                      <c:pt idx="0">
                        <c:v>威海</c:v>
                      </c:pt>
                      <c:pt idx="1">
                        <c:v>青岛</c:v>
                      </c:pt>
                      <c:pt idx="2">
                        <c:v>济南</c:v>
                      </c:pt>
                      <c:pt idx="3">
                        <c:v>潍坊</c:v>
                      </c:pt>
                      <c:pt idx="4">
                        <c:v>淄博</c:v>
                      </c:pt>
                      <c:pt idx="5">
                        <c:v>菏泽</c:v>
                      </c:pt>
                      <c:pt idx="6">
                        <c:v>临沂</c:v>
                      </c:pt>
                      <c:pt idx="7">
                        <c:v>济宁</c:v>
                      </c:pt>
                      <c:pt idx="8">
                        <c:v>烟台</c:v>
                      </c:pt>
                      <c:pt idx="9">
                        <c:v>滨州</c:v>
                      </c:pt>
                      <c:pt idx="10">
                        <c:v>东营</c:v>
                      </c:pt>
                      <c:pt idx="11">
                        <c:v>德州</c:v>
                      </c:pt>
                      <c:pt idx="12">
                        <c:v>枣庄</c:v>
                      </c:pt>
                      <c:pt idx="13">
                        <c:v>日照</c:v>
                      </c:pt>
                      <c:pt idx="14">
                        <c:v>泰安</c:v>
                      </c:pt>
                      <c:pt idx="15">
                        <c:v>莱芜</c:v>
                      </c:pt>
                      <c:pt idx="16">
                        <c:v>聊城</c:v>
                      </c:pt>
                      <c:pt idx="17">
                        <c:v>外省</c:v>
                      </c:pt>
                      <c:pt idx="18">
                        <c:v>地区不明确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jylx_jydqlx!$E$1:$E$19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102</c:v>
                      </c:pt>
                      <c:pt idx="1">
                        <c:v>67</c:v>
                      </c:pt>
                      <c:pt idx="2">
                        <c:v>49</c:v>
                      </c:pt>
                      <c:pt idx="3">
                        <c:v>45</c:v>
                      </c:pt>
                      <c:pt idx="4">
                        <c:v>38</c:v>
                      </c:pt>
                      <c:pt idx="5">
                        <c:v>38</c:v>
                      </c:pt>
                      <c:pt idx="6">
                        <c:v>37</c:v>
                      </c:pt>
                      <c:pt idx="7">
                        <c:v>34</c:v>
                      </c:pt>
                      <c:pt idx="8">
                        <c:v>32</c:v>
                      </c:pt>
                      <c:pt idx="9">
                        <c:v>27</c:v>
                      </c:pt>
                      <c:pt idx="10">
                        <c:v>16</c:v>
                      </c:pt>
                      <c:pt idx="11">
                        <c:v>16</c:v>
                      </c:pt>
                      <c:pt idx="12">
                        <c:v>13</c:v>
                      </c:pt>
                      <c:pt idx="13">
                        <c:v>9</c:v>
                      </c:pt>
                      <c:pt idx="14">
                        <c:v>8</c:v>
                      </c:pt>
                      <c:pt idx="15">
                        <c:v>8</c:v>
                      </c:pt>
                      <c:pt idx="16">
                        <c:v>6</c:v>
                      </c:pt>
                      <c:pt idx="17">
                        <c:v>57</c:v>
                      </c:pt>
                      <c:pt idx="18">
                        <c:v>22</c:v>
                      </c:pt>
                    </c:numCache>
                  </c:numRef>
                </c:val>
              </c15:ser>
            </c15:filteredBarSeries>
          </c:ext>
        </c:extLst>
      </c:barChart>
      <c:catAx>
        <c:axId val="73611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3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6117160"/>
        <c:crosses val="autoZero"/>
        <c:auto val="1"/>
        <c:lblAlgn val="ctr"/>
        <c:lblOffset val="100"/>
        <c:noMultiLvlLbl val="0"/>
      </c:catAx>
      <c:valAx>
        <c:axId val="736117160"/>
        <c:scaling>
          <c:orientation val="minMax"/>
        </c:scaling>
        <c:delete val="0"/>
        <c:axPos val="l"/>
        <c:numFmt formatCode="0_ 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6116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800" baseline="0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7385840695642"/>
          <c:y val="0.201114401984156"/>
          <c:w val="0.708467525776784"/>
          <c:h val="0.671916010498688"/>
        </c:manualLayout>
      </c:layout>
      <c:pieChart>
        <c:varyColors val="1"/>
        <c:ser>
          <c:idx val="4"/>
          <c:order val="4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13553113553114"/>
                  <c:y val="-0.061162079510703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10989010989011"/>
                  <c:y val="-0.061162079510703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697233303396757"/>
                  <c:y val="0.01834862385321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26525198938992"/>
                  <c:y val="-0.033639384526475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7780725022104"/>
                      <c:h val="0.174709720917913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0581027172664425"/>
                  <c:y val="0.012232415902140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jylx_dwxzlx!$A$1:$A$5</c:f>
              <c:strCache>
                <c:ptCount val="5"/>
                <c:pt idx="0">
                  <c:v>党政机关</c:v>
                </c:pt>
                <c:pt idx="1">
                  <c:v>事业单位</c:v>
                </c:pt>
                <c:pt idx="2">
                  <c:v>国有企业</c:v>
                </c:pt>
                <c:pt idx="3">
                  <c:v>非国有企业</c:v>
                </c:pt>
                <c:pt idx="4">
                  <c:v>其他</c:v>
                </c:pt>
              </c:strCache>
            </c:strRef>
          </c:cat>
          <c:val>
            <c:numRef>
              <c:f>jylx_dwxzlx!$F$1:$F$5</c:f>
              <c:numCache>
                <c:formatCode>0.00_ </c:formatCode>
                <c:ptCount val="5"/>
                <c:pt idx="0">
                  <c:v>0.16</c:v>
                </c:pt>
                <c:pt idx="1">
                  <c:v>1.6</c:v>
                </c:pt>
                <c:pt idx="2">
                  <c:v>3.69</c:v>
                </c:pt>
                <c:pt idx="3">
                  <c:v>78.37</c:v>
                </c:pt>
                <c:pt idx="4">
                  <c:v>16.18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spPr/>
                <c:explosion val="0"/>
                <c:dPt>
                  <c:idx val="0"/>
                  <c:bubble3D val="0"/>
                  <c:spPr>
                    <a:solidFill>
                      <a:schemeClr val="accent1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Lbls>
                  <c:numFmt formatCode="0.00%" sourceLinked="0"/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lang="zh-CN" sz="8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bestFit"/>
                  <c:showLegendKey val="0"/>
                  <c:showVal val="0"/>
                  <c:showCatName val="1"/>
                  <c:showSerName val="0"/>
                  <c:showPercent val="1"/>
                  <c:showBubbleSize val="0"/>
                  <c:separator>
</c:separator>
                  <c:showLeaderLines val="1"/>
                  <c:extLst>
                    <c:ext xmlns:c15="http://schemas.microsoft.com/office/drawing/2012/chart" uri="{CE6537A1-D6FC-4f65-9D91-7224C49458BB}">
                      <c15:layout/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jylx_dwxzlx!$A$1:$A$5</c15:sqref>
                        </c15:formulaRef>
                      </c:ext>
                    </c:extLst>
                    <c:strCache>
                      <c:ptCount val="5"/>
                      <c:pt idx="0">
                        <c:v>党政机关</c:v>
                      </c:pt>
                      <c:pt idx="1">
                        <c:v>事业单位</c:v>
                      </c:pt>
                      <c:pt idx="2">
                        <c:v>国有企业</c:v>
                      </c:pt>
                      <c:pt idx="3">
                        <c:v>非国有企业</c:v>
                      </c:pt>
                      <c:pt idx="4">
                        <c:v>其他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jylx_dwxzlx!$B$1:$B$5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</c:numCache>
                  </c:numRef>
                </c:val>
              </c15:ser>
            </c15:filteredPieSeries>
            <c15:filteredPieSeries>
              <c15:ser>
                <c:idx val="1"/>
                <c:order val="1"/>
                <c:spPr/>
                <c:explosion val="0"/>
                <c:dPt>
                  <c:idx val="0"/>
                  <c:bubble3D val="0"/>
                  <c:spPr>
                    <a:solidFill>
                      <a:schemeClr val="accent1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lang="zh-CN" sz="8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bestFi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extLst>
                    <c:ext xmlns:c15="http://schemas.microsoft.com/office/drawing/2012/chart" uri="{CE6537A1-D6FC-4f65-9D91-7224C49458BB}">
                      <c15:layout/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jylx_dwxzlx!$A$1:$A$5</c15:sqref>
                        </c15:formulaRef>
                      </c:ext>
                    </c:extLst>
                    <c:strCache>
                      <c:ptCount val="5"/>
                      <c:pt idx="0">
                        <c:v>党政机关</c:v>
                      </c:pt>
                      <c:pt idx="1">
                        <c:v>事业单位</c:v>
                      </c:pt>
                      <c:pt idx="2">
                        <c:v>国有企业</c:v>
                      </c:pt>
                      <c:pt idx="3">
                        <c:v>非国有企业</c:v>
                      </c:pt>
                      <c:pt idx="4">
                        <c:v>其他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jylx_dwxzlx!$C$1:$C$5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</c:numCache>
                  </c:numRef>
                </c:val>
              </c15:ser>
            </c15:filteredPieSeries>
            <c15:filteredPieSeries>
              <c15:ser>
                <c:idx val="2"/>
                <c:order val="2"/>
                <c:spPr/>
                <c:explosion val="0"/>
                <c:dPt>
                  <c:idx val="0"/>
                  <c:bubble3D val="0"/>
                  <c:spPr>
                    <a:solidFill>
                      <a:schemeClr val="accent1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lang="zh-CN" sz="8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bestFi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extLst>
                    <c:ext xmlns:c15="http://schemas.microsoft.com/office/drawing/2012/chart" uri="{CE6537A1-D6FC-4f65-9D91-7224C49458BB}">
                      <c15:layout/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jylx_dwxzlx!$A$1:$A$5</c15:sqref>
                        </c15:formulaRef>
                      </c:ext>
                    </c:extLst>
                    <c:strCache>
                      <c:ptCount val="5"/>
                      <c:pt idx="0">
                        <c:v>党政机关</c:v>
                      </c:pt>
                      <c:pt idx="1">
                        <c:v>事业单位</c:v>
                      </c:pt>
                      <c:pt idx="2">
                        <c:v>国有企业</c:v>
                      </c:pt>
                      <c:pt idx="3">
                        <c:v>非国有企业</c:v>
                      </c:pt>
                      <c:pt idx="4">
                        <c:v>其他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jylx_dwxzlx!$D$1:$D$5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1</c:v>
                      </c:pt>
                      <c:pt idx="1">
                        <c:v>10</c:v>
                      </c:pt>
                      <c:pt idx="2">
                        <c:v>23</c:v>
                      </c:pt>
                      <c:pt idx="3">
                        <c:v>489</c:v>
                      </c:pt>
                      <c:pt idx="4">
                        <c:v>101</c:v>
                      </c:pt>
                    </c:numCache>
                  </c:numRef>
                </c:val>
              </c15:ser>
            </c15:filteredPieSeries>
            <c15:filteredPieSeries>
              <c15:ser>
                <c:idx val="3"/>
                <c:order val="3"/>
                <c:spPr/>
                <c:explosion val="0"/>
                <c:dPt>
                  <c:idx val="0"/>
                  <c:bubble3D val="0"/>
                  <c:spPr>
                    <a:solidFill>
                      <a:schemeClr val="accent1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Lbls>
                  <c:numFmt formatCode="0.00%" sourceLinked="0"/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lang="zh-CN" sz="8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outEnd"/>
                  <c:showLegendKey val="0"/>
                  <c:showVal val="0"/>
                  <c:showCatName val="1"/>
                  <c:showSerName val="0"/>
                  <c:showPercent val="1"/>
                  <c:showBubbleSize val="0"/>
                  <c:separator>
</c:separator>
                  <c:showLeaderLines val="1"/>
                  <c:extLst>
                    <c:ext xmlns:c15="http://schemas.microsoft.com/office/drawing/2012/chart" uri="{CE6537A1-D6FC-4f65-9D91-7224C49458BB}">
                      <c15:layout/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jylx_dwxzlx!$A$1:$A$5</c15:sqref>
                        </c15:formulaRef>
                      </c:ext>
                    </c:extLst>
                    <c:strCache>
                      <c:ptCount val="5"/>
                      <c:pt idx="0">
                        <c:v>党政机关</c:v>
                      </c:pt>
                      <c:pt idx="1">
                        <c:v>事业单位</c:v>
                      </c:pt>
                      <c:pt idx="2">
                        <c:v>国有企业</c:v>
                      </c:pt>
                      <c:pt idx="3">
                        <c:v>非国有企业</c:v>
                      </c:pt>
                      <c:pt idx="4">
                        <c:v>其他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jylx_dwxzlx!$E$1:$E$5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1</c:v>
                      </c:pt>
                      <c:pt idx="1">
                        <c:v>10</c:v>
                      </c:pt>
                      <c:pt idx="2">
                        <c:v>23</c:v>
                      </c:pt>
                      <c:pt idx="3">
                        <c:v>489</c:v>
                      </c:pt>
                      <c:pt idx="4">
                        <c:v>101</c:v>
                      </c:pt>
                    </c:numCache>
                  </c:numRef>
                </c:val>
              </c15:ser>
            </c15:filteredPieSeries>
          </c:ext>
        </c:extLst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800" baseline="0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5533573928259"/>
          <c:y val="0.0505287923346931"/>
          <c:w val="0.480830927384077"/>
          <c:h val="0.927470709517954"/>
        </c:manualLayout>
      </c:layout>
      <c:barChart>
        <c:barDir val="bar"/>
        <c:grouping val="clustered"/>
        <c:varyColors val="0"/>
        <c:ser>
          <c:idx val="4"/>
          <c:order val="4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numFmt formatCode="#,##0.00_);[Red]\(#,##0.00\)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jylx_hylx!$B$1:$B$21</c:f>
              <c:strCache>
                <c:ptCount val="19"/>
                <c:pt idx="0">
                  <c:v>制造业</c:v>
                </c:pt>
                <c:pt idx="1">
                  <c:v>批发和零售业</c:v>
                </c:pt>
                <c:pt idx="2">
                  <c:v>租赁和商务服务业</c:v>
                </c:pt>
                <c:pt idx="3">
                  <c:v>卫生、社会保障和社会福利业</c:v>
                </c:pt>
                <c:pt idx="4">
                  <c:v>居民服务和其他服务业</c:v>
                </c:pt>
                <c:pt idx="5">
                  <c:v>信息传输、计算机服务和软件业</c:v>
                </c:pt>
                <c:pt idx="6">
                  <c:v>科学研究、技术服务和地质勘查业</c:v>
                </c:pt>
                <c:pt idx="7">
                  <c:v>教育</c:v>
                </c:pt>
                <c:pt idx="8">
                  <c:v>农、林、牧、渔业</c:v>
                </c:pt>
                <c:pt idx="9">
                  <c:v>文化、体育和娱乐业</c:v>
                </c:pt>
                <c:pt idx="10">
                  <c:v>建筑业</c:v>
                </c:pt>
                <c:pt idx="11">
                  <c:v>房地产业</c:v>
                </c:pt>
                <c:pt idx="12">
                  <c:v>住宿和餐饮业</c:v>
                </c:pt>
                <c:pt idx="13">
                  <c:v>公共管理和社会组织</c:v>
                </c:pt>
                <c:pt idx="14">
                  <c:v>金融业</c:v>
                </c:pt>
                <c:pt idx="15">
                  <c:v>交通运输、仓储和邮政业</c:v>
                </c:pt>
                <c:pt idx="16">
                  <c:v>电力、燃气及水的生产和供应业</c:v>
                </c:pt>
                <c:pt idx="17">
                  <c:v>水利、环境和公共设施管理业</c:v>
                </c:pt>
                <c:pt idx="18">
                  <c:v>其他</c:v>
                </c:pt>
              </c:strCache>
            </c:strRef>
          </c:cat>
          <c:val>
            <c:numRef>
              <c:f>jylx_hylx!$G$1:$G$21</c:f>
              <c:numCache>
                <c:formatCode>0.00_ </c:formatCode>
                <c:ptCount val="19"/>
                <c:pt idx="0">
                  <c:v>16.51</c:v>
                </c:pt>
                <c:pt idx="1">
                  <c:v>11.54</c:v>
                </c:pt>
                <c:pt idx="2">
                  <c:v>9.13</c:v>
                </c:pt>
                <c:pt idx="3">
                  <c:v>6.89</c:v>
                </c:pt>
                <c:pt idx="4">
                  <c:v>6.73</c:v>
                </c:pt>
                <c:pt idx="5">
                  <c:v>6.25</c:v>
                </c:pt>
                <c:pt idx="6">
                  <c:v>4.97</c:v>
                </c:pt>
                <c:pt idx="7">
                  <c:v>4.33</c:v>
                </c:pt>
                <c:pt idx="8">
                  <c:v>3.85</c:v>
                </c:pt>
                <c:pt idx="9">
                  <c:v>3.69</c:v>
                </c:pt>
                <c:pt idx="10">
                  <c:v>3.53</c:v>
                </c:pt>
                <c:pt idx="11">
                  <c:v>3.21</c:v>
                </c:pt>
                <c:pt idx="12">
                  <c:v>2.4</c:v>
                </c:pt>
                <c:pt idx="13">
                  <c:v>1.76</c:v>
                </c:pt>
                <c:pt idx="14">
                  <c:v>1.76</c:v>
                </c:pt>
                <c:pt idx="15">
                  <c:v>1.44</c:v>
                </c:pt>
                <c:pt idx="16">
                  <c:v>1.28</c:v>
                </c:pt>
                <c:pt idx="17">
                  <c:v>0.8</c:v>
                </c:pt>
                <c:pt idx="18">
                  <c:v>9.93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36194200"/>
        <c:axId val="73619459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lang="zh-CN" sz="8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xmlns:c15="http://schemas.microsoft.com/office/drawing/2012/chart" uri="{CE6537A1-D6FC-4f65-9D91-7224C49458BB}">
                      <c15:layout/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jylx_hylx!$B$1:$B$21</c15:sqref>
                        </c15:formulaRef>
                      </c:ext>
                    </c:extLst>
                    <c:strCache>
                      <c:ptCount val="19"/>
                      <c:pt idx="0">
                        <c:v>制造业</c:v>
                      </c:pt>
                      <c:pt idx="1">
                        <c:v>批发和零售业</c:v>
                      </c:pt>
                      <c:pt idx="2">
                        <c:v>租赁和商务服务业</c:v>
                      </c:pt>
                      <c:pt idx="3">
                        <c:v>卫生、社会保障和社会福利业</c:v>
                      </c:pt>
                      <c:pt idx="4">
                        <c:v>居民服务和其他服务业</c:v>
                      </c:pt>
                      <c:pt idx="5">
                        <c:v>信息传输、计算机服务和软件业</c:v>
                      </c:pt>
                      <c:pt idx="6">
                        <c:v>科学研究、技术服务和地质勘查业</c:v>
                      </c:pt>
                      <c:pt idx="7">
                        <c:v>教育</c:v>
                      </c:pt>
                      <c:pt idx="8">
                        <c:v>农、林、牧、渔业</c:v>
                      </c:pt>
                      <c:pt idx="9">
                        <c:v>文化、体育和娱乐业</c:v>
                      </c:pt>
                      <c:pt idx="10">
                        <c:v>建筑业</c:v>
                      </c:pt>
                      <c:pt idx="11">
                        <c:v>房地产业</c:v>
                      </c:pt>
                      <c:pt idx="12">
                        <c:v>住宿和餐饮业</c:v>
                      </c:pt>
                      <c:pt idx="13">
                        <c:v>公共管理和社会组织</c:v>
                      </c:pt>
                      <c:pt idx="14">
                        <c:v>金融业</c:v>
                      </c:pt>
                      <c:pt idx="15">
                        <c:v>交通运输、仓储和邮政业</c:v>
                      </c:pt>
                      <c:pt idx="16">
                        <c:v>电力、燃气及水的生产和供应业</c:v>
                      </c:pt>
                      <c:pt idx="17">
                        <c:v>水利、环境和公共设施管理业</c:v>
                      </c:pt>
                      <c:pt idx="18">
                        <c:v>其他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jylx_hylx!$C$1:$C$21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0</c:v>
                      </c:pt>
                      <c:pt idx="8">
                        <c:v>0</c:v>
                      </c:pt>
                      <c:pt idx="9">
                        <c:v>0</c:v>
                      </c:pt>
                      <c:pt idx="10">
                        <c:v>0</c:v>
                      </c:pt>
                      <c:pt idx="11">
                        <c:v>0</c:v>
                      </c:pt>
                      <c:pt idx="12">
                        <c:v>0</c:v>
                      </c:pt>
                      <c:pt idx="13">
                        <c:v>0</c:v>
                      </c:pt>
                      <c:pt idx="14">
                        <c:v>0</c:v>
                      </c:pt>
                      <c:pt idx="15">
                        <c:v>0</c:v>
                      </c:pt>
                      <c:pt idx="16">
                        <c:v>0</c:v>
                      </c:pt>
                      <c:pt idx="17">
                        <c:v>0</c:v>
                      </c:pt>
                      <c:pt idx="18">
                        <c:v>0</c:v>
                      </c:pt>
                    </c:numCache>
                  </c:numRef>
                </c:val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delete val="1"/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jylx_hylx!$B$1:$B$21</c15:sqref>
                        </c15:formulaRef>
                      </c:ext>
                    </c:extLst>
                    <c:strCache>
                      <c:ptCount val="19"/>
                      <c:pt idx="0">
                        <c:v>制造业</c:v>
                      </c:pt>
                      <c:pt idx="1">
                        <c:v>批发和零售业</c:v>
                      </c:pt>
                      <c:pt idx="2">
                        <c:v>租赁和商务服务业</c:v>
                      </c:pt>
                      <c:pt idx="3">
                        <c:v>卫生、社会保障和社会福利业</c:v>
                      </c:pt>
                      <c:pt idx="4">
                        <c:v>居民服务和其他服务业</c:v>
                      </c:pt>
                      <c:pt idx="5">
                        <c:v>信息传输、计算机服务和软件业</c:v>
                      </c:pt>
                      <c:pt idx="6">
                        <c:v>科学研究、技术服务和地质勘查业</c:v>
                      </c:pt>
                      <c:pt idx="7">
                        <c:v>教育</c:v>
                      </c:pt>
                      <c:pt idx="8">
                        <c:v>农、林、牧、渔业</c:v>
                      </c:pt>
                      <c:pt idx="9">
                        <c:v>文化、体育和娱乐业</c:v>
                      </c:pt>
                      <c:pt idx="10">
                        <c:v>建筑业</c:v>
                      </c:pt>
                      <c:pt idx="11">
                        <c:v>房地产业</c:v>
                      </c:pt>
                      <c:pt idx="12">
                        <c:v>住宿和餐饮业</c:v>
                      </c:pt>
                      <c:pt idx="13">
                        <c:v>公共管理和社会组织</c:v>
                      </c:pt>
                      <c:pt idx="14">
                        <c:v>金融业</c:v>
                      </c:pt>
                      <c:pt idx="15">
                        <c:v>交通运输、仓储和邮政业</c:v>
                      </c:pt>
                      <c:pt idx="16">
                        <c:v>电力、燃气及水的生产和供应业</c:v>
                      </c:pt>
                      <c:pt idx="17">
                        <c:v>水利、环境和公共设施管理业</c:v>
                      </c:pt>
                      <c:pt idx="18">
                        <c:v>其他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jylx_hylx!$D$1:$D$21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0</c:v>
                      </c:pt>
                      <c:pt idx="8">
                        <c:v>0</c:v>
                      </c:pt>
                      <c:pt idx="9">
                        <c:v>0</c:v>
                      </c:pt>
                      <c:pt idx="10">
                        <c:v>0</c:v>
                      </c:pt>
                      <c:pt idx="11">
                        <c:v>0</c:v>
                      </c:pt>
                      <c:pt idx="12">
                        <c:v>0</c:v>
                      </c:pt>
                      <c:pt idx="13">
                        <c:v>0</c:v>
                      </c:pt>
                      <c:pt idx="14">
                        <c:v>0</c:v>
                      </c:pt>
                      <c:pt idx="15">
                        <c:v>0</c:v>
                      </c:pt>
                      <c:pt idx="16">
                        <c:v>0</c:v>
                      </c:pt>
                      <c:pt idx="17">
                        <c:v>0</c:v>
                      </c:pt>
                      <c:pt idx="18">
                        <c:v>0</c:v>
                      </c:pt>
                    </c:numCache>
                  </c:numRef>
                </c:val>
              </c15:ser>
            </c15:filteredBarSeries>
            <c15:filteredBarSeries>
              <c15:ser>
                <c:idx val="2"/>
                <c:order val="2"/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delete val="1"/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jylx_hylx!$B$1:$B$21</c15:sqref>
                        </c15:formulaRef>
                      </c:ext>
                    </c:extLst>
                    <c:strCache>
                      <c:ptCount val="19"/>
                      <c:pt idx="0">
                        <c:v>制造业</c:v>
                      </c:pt>
                      <c:pt idx="1">
                        <c:v>批发和零售业</c:v>
                      </c:pt>
                      <c:pt idx="2">
                        <c:v>租赁和商务服务业</c:v>
                      </c:pt>
                      <c:pt idx="3">
                        <c:v>卫生、社会保障和社会福利业</c:v>
                      </c:pt>
                      <c:pt idx="4">
                        <c:v>居民服务和其他服务业</c:v>
                      </c:pt>
                      <c:pt idx="5">
                        <c:v>信息传输、计算机服务和软件业</c:v>
                      </c:pt>
                      <c:pt idx="6">
                        <c:v>科学研究、技术服务和地质勘查业</c:v>
                      </c:pt>
                      <c:pt idx="7">
                        <c:v>教育</c:v>
                      </c:pt>
                      <c:pt idx="8">
                        <c:v>农、林、牧、渔业</c:v>
                      </c:pt>
                      <c:pt idx="9">
                        <c:v>文化、体育和娱乐业</c:v>
                      </c:pt>
                      <c:pt idx="10">
                        <c:v>建筑业</c:v>
                      </c:pt>
                      <c:pt idx="11">
                        <c:v>房地产业</c:v>
                      </c:pt>
                      <c:pt idx="12">
                        <c:v>住宿和餐饮业</c:v>
                      </c:pt>
                      <c:pt idx="13">
                        <c:v>公共管理和社会组织</c:v>
                      </c:pt>
                      <c:pt idx="14">
                        <c:v>金融业</c:v>
                      </c:pt>
                      <c:pt idx="15">
                        <c:v>交通运输、仓储和邮政业</c:v>
                      </c:pt>
                      <c:pt idx="16">
                        <c:v>电力、燃气及水的生产和供应业</c:v>
                      </c:pt>
                      <c:pt idx="17">
                        <c:v>水利、环境和公共设施管理业</c:v>
                      </c:pt>
                      <c:pt idx="18">
                        <c:v>其他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jylx_hylx!$E$1:$E$21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103</c:v>
                      </c:pt>
                      <c:pt idx="1">
                        <c:v>72</c:v>
                      </c:pt>
                      <c:pt idx="2">
                        <c:v>57</c:v>
                      </c:pt>
                      <c:pt idx="3">
                        <c:v>43</c:v>
                      </c:pt>
                      <c:pt idx="4">
                        <c:v>42</c:v>
                      </c:pt>
                      <c:pt idx="5">
                        <c:v>39</c:v>
                      </c:pt>
                      <c:pt idx="6">
                        <c:v>31</c:v>
                      </c:pt>
                      <c:pt idx="7">
                        <c:v>27</c:v>
                      </c:pt>
                      <c:pt idx="8">
                        <c:v>24</c:v>
                      </c:pt>
                      <c:pt idx="9">
                        <c:v>23</c:v>
                      </c:pt>
                      <c:pt idx="10">
                        <c:v>22</c:v>
                      </c:pt>
                      <c:pt idx="11">
                        <c:v>20</c:v>
                      </c:pt>
                      <c:pt idx="12">
                        <c:v>15</c:v>
                      </c:pt>
                      <c:pt idx="13">
                        <c:v>11</c:v>
                      </c:pt>
                      <c:pt idx="14">
                        <c:v>11</c:v>
                      </c:pt>
                      <c:pt idx="15">
                        <c:v>9</c:v>
                      </c:pt>
                      <c:pt idx="16">
                        <c:v>8</c:v>
                      </c:pt>
                      <c:pt idx="17">
                        <c:v>5</c:v>
                      </c:pt>
                      <c:pt idx="18">
                        <c:v>62</c:v>
                      </c:pt>
                    </c:numCache>
                  </c:numRef>
                </c:val>
              </c15:ser>
            </c15:filteredBarSeries>
            <c15:filteredBarSeries>
              <c15:ser>
                <c:idx val="3"/>
                <c:order val="3"/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dLbls>
                  <c:numFmt formatCode="0.00%" sourceLinked="0"/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lang="zh-CN" sz="8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xmlns:c15="http://schemas.microsoft.com/office/drawing/2012/chart" uri="{CE6537A1-D6FC-4f65-9D91-7224C49458BB}">
                      <c15:layout/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jylx_hylx!$B$1:$B$21</c15:sqref>
                        </c15:formulaRef>
                      </c:ext>
                    </c:extLst>
                    <c:strCache>
                      <c:ptCount val="19"/>
                      <c:pt idx="0">
                        <c:v>制造业</c:v>
                      </c:pt>
                      <c:pt idx="1">
                        <c:v>批发和零售业</c:v>
                      </c:pt>
                      <c:pt idx="2">
                        <c:v>租赁和商务服务业</c:v>
                      </c:pt>
                      <c:pt idx="3">
                        <c:v>卫生、社会保障和社会福利业</c:v>
                      </c:pt>
                      <c:pt idx="4">
                        <c:v>居民服务和其他服务业</c:v>
                      </c:pt>
                      <c:pt idx="5">
                        <c:v>信息传输、计算机服务和软件业</c:v>
                      </c:pt>
                      <c:pt idx="6">
                        <c:v>科学研究、技术服务和地质勘查业</c:v>
                      </c:pt>
                      <c:pt idx="7">
                        <c:v>教育</c:v>
                      </c:pt>
                      <c:pt idx="8">
                        <c:v>农、林、牧、渔业</c:v>
                      </c:pt>
                      <c:pt idx="9">
                        <c:v>文化、体育和娱乐业</c:v>
                      </c:pt>
                      <c:pt idx="10">
                        <c:v>建筑业</c:v>
                      </c:pt>
                      <c:pt idx="11">
                        <c:v>房地产业</c:v>
                      </c:pt>
                      <c:pt idx="12">
                        <c:v>住宿和餐饮业</c:v>
                      </c:pt>
                      <c:pt idx="13">
                        <c:v>公共管理和社会组织</c:v>
                      </c:pt>
                      <c:pt idx="14">
                        <c:v>金融业</c:v>
                      </c:pt>
                      <c:pt idx="15">
                        <c:v>交通运输、仓储和邮政业</c:v>
                      </c:pt>
                      <c:pt idx="16">
                        <c:v>电力、燃气及水的生产和供应业</c:v>
                      </c:pt>
                      <c:pt idx="17">
                        <c:v>水利、环境和公共设施管理业</c:v>
                      </c:pt>
                      <c:pt idx="18">
                        <c:v>其他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jylx_hylx!$F$1:$F$21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103</c:v>
                      </c:pt>
                      <c:pt idx="1">
                        <c:v>72</c:v>
                      </c:pt>
                      <c:pt idx="2">
                        <c:v>57</c:v>
                      </c:pt>
                      <c:pt idx="3">
                        <c:v>43</c:v>
                      </c:pt>
                      <c:pt idx="4">
                        <c:v>42</c:v>
                      </c:pt>
                      <c:pt idx="5">
                        <c:v>39</c:v>
                      </c:pt>
                      <c:pt idx="6">
                        <c:v>31</c:v>
                      </c:pt>
                      <c:pt idx="7">
                        <c:v>27</c:v>
                      </c:pt>
                      <c:pt idx="8">
                        <c:v>24</c:v>
                      </c:pt>
                      <c:pt idx="9">
                        <c:v>23</c:v>
                      </c:pt>
                      <c:pt idx="10">
                        <c:v>22</c:v>
                      </c:pt>
                      <c:pt idx="11">
                        <c:v>20</c:v>
                      </c:pt>
                      <c:pt idx="12">
                        <c:v>15</c:v>
                      </c:pt>
                      <c:pt idx="13">
                        <c:v>11</c:v>
                      </c:pt>
                      <c:pt idx="14">
                        <c:v>11</c:v>
                      </c:pt>
                      <c:pt idx="15">
                        <c:v>9</c:v>
                      </c:pt>
                      <c:pt idx="16">
                        <c:v>8</c:v>
                      </c:pt>
                      <c:pt idx="17">
                        <c:v>5</c:v>
                      </c:pt>
                      <c:pt idx="18">
                        <c:v>62</c:v>
                      </c:pt>
                    </c:numCache>
                  </c:numRef>
                </c:val>
              </c15:ser>
            </c15:filteredBarSeries>
          </c:ext>
        </c:extLst>
      </c:barChart>
      <c:catAx>
        <c:axId val="73619420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6194592"/>
        <c:crosses val="autoZero"/>
        <c:auto val="1"/>
        <c:lblAlgn val="ctr"/>
        <c:lblOffset val="100"/>
        <c:noMultiLvlLbl val="0"/>
      </c:catAx>
      <c:valAx>
        <c:axId val="736194592"/>
        <c:scaling>
          <c:orientation val="minMax"/>
        </c:scaling>
        <c:delete val="1"/>
        <c:axPos val="t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  <a:r>
                  <a:rPr lang="zh-CN" altLang="en-US">
                    <a:latin typeface="+mn-ea"/>
                    <a:ea typeface="+mn-ea"/>
                  </a:rPr>
                  <a:t>（单位：</a:t>
                </a:r>
                <a:r>
                  <a:rPr lang="en-US" altLang="zh-CN">
                    <a:latin typeface="+mn-ea"/>
                    <a:ea typeface="+mn-ea"/>
                  </a:rPr>
                  <a:t>%</a:t>
                </a:r>
                <a:r>
                  <a:rPr lang="zh-CN" altLang="en-US">
                    <a:latin typeface="+mn-ea"/>
                    <a:ea typeface="+mn-ea"/>
                  </a:rPr>
                  <a:t>）</a:t>
                </a:r>
                <a:endParaRPr lang="zh-CN" altLang="en-US">
                  <a:latin typeface="+mn-ea"/>
                  <a:ea typeface="+mn-ea"/>
                </a:endParaRPr>
              </a:p>
            </c:rich>
          </c:tx>
          <c:layout>
            <c:manualLayout>
              <c:xMode val="edge"/>
              <c:yMode val="edge"/>
              <c:x val="0.829084522329446"/>
              <c:y val="0.00779105409026669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_ 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6194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800" baseline="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66</Pages>
  <Words>2084</Words>
  <Characters>11883</Characters>
  <Lines>99</Lines>
  <Paragraphs>27</Paragraphs>
  <TotalTime>3</TotalTime>
  <ScaleCrop>false</ScaleCrop>
  <LinksUpToDate>false</LinksUpToDate>
  <CharactersWithSpaces>13940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2018-04-24T11:23:00Z</dcterms:created>
  <dc:creator>开心乐</dc:creator>
  <cp:lastModifiedBy>开心乐</cp:lastModifiedBy>
  <cp:lastPrinted>2018-04-25T01:22:00Z</cp:lastPrinted>
  <dcterms:modified xsi:type="dcterms:W3CDTF">2018-11-08T02:51:24Z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